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jc w:val="right"/>
      </w:pPr>
      <w:r>
        <w:rPr>
          <w:rFonts w:ascii="Aptos" w:hAnsi="Aptos"/>
          <w:b/>
          <w:i w:val="0"/>
          <w:color w:val="000000"/>
          <w:sz w:val="18"/>
        </w:rPr>
        <w:t>2. pielikums</w:t>
      </w:r>
    </w:p>
    <w:p>
      <w:pPr>
        <w:pStyle w:val="Title"/>
      </w:pPr>
      <w:r>
        <w:t>Apsekošanas uzdevums</w:t>
      </w:r>
    </w:p>
    <w:p>
      <w:pPr>
        <w:spacing w:after="60"/>
        <w:jc w:val="center"/>
      </w:pPr>
      <w:r>
        <w:rPr>
          <w:rFonts w:ascii="Aptos" w:hAnsi="Aptos"/>
          <w:b/>
          <w:i w:val="0"/>
          <w:color w:val="000000"/>
          <w:sz w:val="22"/>
        </w:rPr>
        <w:t>13 daudzdzīvokļu dzīvojamo māju tehniskajai apsekošanai Tukumā</w:t>
      </w:r>
    </w:p>
    <w:p>
      <w:pPr>
        <w:spacing w:after="200"/>
        <w:jc w:val="center"/>
      </w:pPr>
      <w:r>
        <w:rPr>
          <w:rFonts w:ascii="Aptos" w:hAnsi="Aptos"/>
          <w:b w:val="0"/>
          <w:i w:val="0"/>
          <w:color w:val="595959"/>
          <w:sz w:val="18"/>
        </w:rPr>
        <w:t>Cenu aptaujas Nr. 1-18/20</w:t>
      </w:r>
    </w:p>
    <w:p>
      <w:pPr>
        <w:keepLines w:val="0"/>
      </w:pPr>
      <w:r>
        <w:rPr>
          <w:rFonts w:ascii="Aptos" w:hAnsi="Aptos"/>
          <w:b w:val="0"/>
          <w:i w:val="0"/>
          <w:color w:val="000000"/>
          <w:sz w:val="20"/>
        </w:rPr>
        <w:t>Tehnisko apsekošanu veic sertificēti būvspeciālisti atbilstoši Ministru kabineta 2018. gada 20. marta noteikumiem Nr. 169 “Būvspeciālistu kompetences novērtēšanas un patstāvīgās prakses uzraudzības noteikumi”. Apsekošanas veicējiem jābūt profesionālās civiltiesiskās atbildības apdrošināšanai saskaņā ar Ministru kabineta 2014. gada 19. augusta noteikumiem Nr. 502 “Noteikumi par būvspeciālistu un būvdarbu veicēju civiltiesiskās atbildības obligāto apdrošināšanu”. Normatīvie akti piemērojami to spēkā esošajā redakcijā.</w:t>
      </w:r>
    </w:p>
    <w:p>
      <w:pPr>
        <w:keepLines/>
      </w:pPr>
      <w:r>
        <w:rPr>
          <w:rFonts w:ascii="Aptos" w:hAnsi="Aptos"/>
          <w:b/>
          <w:i w:val="0"/>
          <w:color w:val="000000"/>
          <w:sz w:val="20"/>
        </w:rPr>
        <w:t>Pretendentam jāiesniedz cenu piedāvājums par visu iepriekš norādīto objektu tehniskās apsekošanas atzinumu izstrādi kopumā. Piedāvājumi tikai par atsevišķiem objektiem netiks vērtēti.</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024"/>
        <w:gridCol w:w="3024"/>
        <w:gridCol w:w="3024"/>
      </w:tblGrid>
      <w:tr>
        <w:trPr>
          <w:tblHeader w:val="true"/>
          <w:cantSplit/>
        </w:trPr>
        <w:tc>
          <w:tcPr>
            <w:tcW w:type="dxa" w:w="567"/>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6"/>
              </w:rPr>
            </w:r>
            <w:r>
              <w:rPr>
                <w:rFonts w:ascii="Aptos" w:hAnsi="Aptos"/>
                <w:b/>
                <w:i w:val="0"/>
                <w:color w:val="FFFFFF"/>
                <w:sz w:val="16"/>
              </w:rPr>
              <w:t>Nr.</w:t>
            </w:r>
          </w:p>
        </w:tc>
        <w:tc>
          <w:tcPr>
            <w:tcW w:type="dxa" w:w="2438"/>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6"/>
              </w:rPr>
            </w:r>
            <w:r>
              <w:rPr>
                <w:rFonts w:ascii="Aptos" w:hAnsi="Aptos"/>
                <w:b/>
                <w:i w:val="0"/>
                <w:color w:val="FFFFFF"/>
                <w:sz w:val="16"/>
              </w:rPr>
              <w:t>Uzdevuma daļa</w:t>
            </w:r>
          </w:p>
        </w:tc>
        <w:tc>
          <w:tcPr>
            <w:tcW w:type="dxa" w:w="6066"/>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6"/>
              </w:rPr>
            </w:r>
            <w:r>
              <w:rPr>
                <w:rFonts w:ascii="Aptos" w:hAnsi="Aptos"/>
                <w:b/>
                <w:i w:val="0"/>
                <w:color w:val="FFFFFF"/>
                <w:sz w:val="16"/>
              </w:rPr>
              <w:t>Prasības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1.</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Apsekojamie objekti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1. Annas iela 2 k-1, Tukums</w:t>
            </w:r>
          </w:p>
          <w:p>
            <w:pPr>
              <w:spacing w:after="20" w:line="240" w:lineRule="auto"/>
            </w:pPr>
            <w:r>
              <w:rPr>
                <w:rFonts w:ascii="Aptos" w:hAnsi="Aptos"/>
                <w:b w:val="0"/>
                <w:i w:val="0"/>
                <w:color w:val="000000"/>
                <w:sz w:val="16"/>
              </w:rPr>
              <w:t>2. Annas iela 2 k-2, Tukums</w:t>
            </w:r>
          </w:p>
          <w:p>
            <w:pPr>
              <w:spacing w:after="20" w:line="240" w:lineRule="auto"/>
            </w:pPr>
            <w:r>
              <w:rPr>
                <w:rFonts w:ascii="Aptos" w:hAnsi="Aptos"/>
                <w:b w:val="0"/>
                <w:i w:val="0"/>
                <w:color w:val="000000"/>
                <w:sz w:val="16"/>
              </w:rPr>
              <w:t>3. Talsu iela 6 k-1, Tukums</w:t>
            </w:r>
          </w:p>
          <w:p>
            <w:pPr>
              <w:spacing w:after="20" w:line="240" w:lineRule="auto"/>
            </w:pPr>
            <w:r>
              <w:rPr>
                <w:rFonts w:ascii="Aptos" w:hAnsi="Aptos"/>
                <w:b w:val="0"/>
                <w:i w:val="0"/>
                <w:color w:val="000000"/>
                <w:sz w:val="16"/>
              </w:rPr>
              <w:t>4. Talsu iela 6 k-2, Tukums</w:t>
            </w:r>
          </w:p>
          <w:p>
            <w:pPr>
              <w:spacing w:after="20" w:line="240" w:lineRule="auto"/>
            </w:pPr>
            <w:r>
              <w:rPr>
                <w:rFonts w:ascii="Aptos" w:hAnsi="Aptos"/>
                <w:b w:val="0"/>
                <w:i w:val="0"/>
                <w:color w:val="000000"/>
                <w:sz w:val="16"/>
              </w:rPr>
              <w:t>5. Lielā iela 5A k-1, Tukums</w:t>
            </w:r>
          </w:p>
          <w:p>
            <w:pPr>
              <w:spacing w:after="20" w:line="240" w:lineRule="auto"/>
            </w:pPr>
            <w:r>
              <w:rPr>
                <w:rFonts w:ascii="Aptos" w:hAnsi="Aptos"/>
                <w:b w:val="0"/>
                <w:i w:val="0"/>
                <w:color w:val="000000"/>
                <w:sz w:val="16"/>
              </w:rPr>
              <w:t>6. Lielā iela 5A k-2, Tukums</w:t>
            </w:r>
          </w:p>
          <w:p>
            <w:pPr>
              <w:spacing w:after="20" w:line="240" w:lineRule="auto"/>
            </w:pPr>
            <w:r>
              <w:rPr>
                <w:rFonts w:ascii="Aptos" w:hAnsi="Aptos"/>
                <w:b w:val="0"/>
                <w:i w:val="0"/>
                <w:color w:val="000000"/>
                <w:sz w:val="16"/>
              </w:rPr>
              <w:t>7. Lielā iela 5, Tukums</w:t>
            </w:r>
          </w:p>
          <w:p>
            <w:pPr>
              <w:spacing w:after="20" w:line="240" w:lineRule="auto"/>
            </w:pPr>
            <w:r>
              <w:rPr>
                <w:rFonts w:ascii="Aptos" w:hAnsi="Aptos"/>
                <w:b w:val="0"/>
                <w:i w:val="0"/>
                <w:color w:val="000000"/>
                <w:sz w:val="16"/>
              </w:rPr>
              <w:t>8. Lielā iela 11A, Tukums</w:t>
            </w:r>
          </w:p>
          <w:p>
            <w:pPr>
              <w:spacing w:after="20" w:line="240" w:lineRule="auto"/>
            </w:pPr>
            <w:r>
              <w:rPr>
                <w:rFonts w:ascii="Aptos" w:hAnsi="Aptos"/>
                <w:b w:val="0"/>
                <w:i w:val="0"/>
                <w:color w:val="000000"/>
                <w:sz w:val="16"/>
              </w:rPr>
              <w:t>9. Dārzniecības iela 2A, Tukums</w:t>
            </w:r>
          </w:p>
          <w:p>
            <w:pPr>
              <w:spacing w:after="20" w:line="240" w:lineRule="auto"/>
            </w:pPr>
            <w:r>
              <w:rPr>
                <w:rFonts w:ascii="Aptos" w:hAnsi="Aptos"/>
                <w:b w:val="0"/>
                <w:i w:val="0"/>
                <w:color w:val="000000"/>
                <w:sz w:val="16"/>
              </w:rPr>
              <w:t>10. Celtnieku iela 3, Tukums</w:t>
            </w:r>
          </w:p>
          <w:p>
            <w:pPr>
              <w:spacing w:after="20" w:line="240" w:lineRule="auto"/>
            </w:pPr>
            <w:r>
              <w:rPr>
                <w:rFonts w:ascii="Aptos" w:hAnsi="Aptos"/>
                <w:b w:val="0"/>
                <w:i w:val="0"/>
                <w:color w:val="000000"/>
                <w:sz w:val="16"/>
              </w:rPr>
              <w:t>11. Lielā iela 29, Tukums</w:t>
            </w:r>
          </w:p>
          <w:p>
            <w:pPr>
              <w:spacing w:after="20" w:line="240" w:lineRule="auto"/>
            </w:pPr>
            <w:r>
              <w:rPr>
                <w:rFonts w:ascii="Aptos" w:hAnsi="Aptos"/>
                <w:b w:val="0"/>
                <w:i w:val="0"/>
                <w:color w:val="000000"/>
                <w:sz w:val="16"/>
              </w:rPr>
              <w:t>12. Stacijas iela 25, Tukums</w:t>
            </w:r>
          </w:p>
          <w:p>
            <w:pPr>
              <w:spacing w:after="20" w:line="240" w:lineRule="auto"/>
            </w:pPr>
            <w:r>
              <w:rPr>
                <w:rFonts w:ascii="Aptos" w:hAnsi="Aptos"/>
                <w:b w:val="0"/>
                <w:i w:val="0"/>
                <w:color w:val="000000"/>
                <w:sz w:val="16"/>
              </w:rPr>
              <w:t>13. Pasta iela 33, Tukums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2.</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Būvju pamatdati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Būvju grupa, kadastra apzīmējumi, platības, stāvu un dzīvokļu skaits un citi pamatdati nosakāmi atbilstoši katram objektam pievienotajai tehniskās inventarizācijas lietai un pārbaudāmi apsekošanas laikā.</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3.</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Darba organizācija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Par katru objektu sagatavot atsevišķu tehniskās apsekošanas atzinumu. Visu objektu apsekošanu organizēt kā vienotu līguma izpildi, nodrošinot pietiekamus speciālistu un tehniskos resursus darbu pabeigšanai noteiktajā termiņā.</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4.</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Apsekošanas mērķis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Noteikt katras daudzdzīvokļu dzīvojamās mājas faktisko tehnisko stāvokli, fizisko nolietojumu un atbilstību Būvniecības likuma 9. pantā noteiktajām būtiskajām prasībām. Izvērtēt pamatus, nesošās un norobežojošās konstrukcijas, pārsegumus, jumtu, fasādes, kāpnes, dūmvadus, ailas un koplietošanas inženiersistēmas. Noteikt bojātās vai nolietotās konstrukcijas un sistēmas un sniegt prioritizētus priekšlikumus drošai turpmākai ekspluatācijai.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Apsekošanas darbu kopējais apjoms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Veikt visu 13 ēku tehnisko apsekošanu un par katru ēku sagatavot atsevišķu tehniskās apsekošanas atzinumu atbilstoši LBN 405-21 “Būvju tehniskās apsekošanas būvnormatīvs” spēkā esošajai redakcijai.</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Vispārējais tehniskais stāvoklis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Noteikt katras ēkas vispārējo tehnisko stāvokli un fizisko nolietojumu.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5.2.</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Pamati un nesošās konstrukcijas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Novērtēt pamatu, cokola, nesošo sienu, starpsienu, kolonnu, siju, starpstāvu un bēniņu pārsegumu tehnisko stāvokli, nolietojumu, plaisas, deformācijas un citus bojājumus.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5.3.</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Jumts fasādes un citi elementi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Novērtēt jumta nesošās konstrukcijas, jumta segumu, lietusūdens novadīšanu, dūmvadus, fasādes, kāpnes, ieejas mezglus, logus, durvis un citus konstruktīvos elementus.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5.4.</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Norobežojošās konstrukcijas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Novērtēt norobežojošo konstrukciju tehnisko stāvokli un siltumtehniskās īpašības, identificējot būtiskākos aukstuma tiltus, siltuma zudumu, kondensāta un mitruma riskus.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5.5.</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Iekšējie inženiertīkli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Novērtēt ēkas koplietošanas ūdensapgādes, kanalizācijas, apkures, ventilācijas un elektroapgādes sistēmu redzamo un pieejamo daļu tehnisko stāvokli un nolietojumu.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5.6.</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Ārējie inženiertīkli un pievadi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Vizuāli novērtēt ar ēku saistīto ārējo inženiertīklu un pievadu redzamās un pieejamās daļas. Skaidri norādīt apsekojuma robežas un nepieciešamību pēc specializētas izpētes.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5.7.</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Drošība un pieejamība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Izvērtēt ar ugunsdrošību, lietošanas drošību un vides pieejamību saistīto ēkas elementu faktisko stāvokli apsekošanas uzdevuma un būvspeciālistu kompetences robežās.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5.8.</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Fotofiksācija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Fiksēt konstatētos bojājumus fotogrāfijās, norādot to atrašanās vietu, raksturu, apmēru un iespējamos cēloņus.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5.9.</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Mērījumi un izpētes darbi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Nepieciešamības gadījumā veikt uzmērījumus, kontrolmērījumus, konstrukciju atsegumus un citus izpētes darbus. Destruktīvus darbus iepriekš saskaņot ar Pasūtītāju.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5.10.</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Grafiskie materiāli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Sagatavot stāvu plānus, fasāžu shēmas, mezglus vai skices ar norādītām bojājumu, mērījumu un atsegumu vietām.</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5.11.</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Atzinuma struktūra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Katra objekta apsekošanas rezultātus apkopot atsevišķā tehniskās apsekošanas atzinumā, kurā secīgi un pārbaudāmi ietverta turpmāk norādītā informācija.</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5.12.</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Izejas dati un apsekošanas robežas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Norādīt vispārīgas ziņas par būvi, izmantotos izejas materiālus, apsekošanas apjomu, ierobežojumus un lietotās metodes.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5.13.</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Situācija un teritorija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Aprakstīt situāciju un teritorijas labiekārtojumu, tostarp piekļuves, ietvju, iebraucamo ceļu, pagalma un virszemes ūdens novadīšanas faktisko stāvokli, ciktāl tas ietekmē ēku.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5.14.</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Būves daļu novērtējums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Katrai apsekotajai būves daļai aprakstīt tehnisko stāvokli, nolietojumu, bojājumus, iespējamos cēloņus un ieteicamos risinājumus.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5.15.</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Iekšējo inženiertīklu novērtējums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Aprakstīt ēkas koplietošanas iekšējo inženiertīklu un sistēmu tehnisko stāvokli un norādīt nepieciešamos uzturēšanas, remonta vai atjaunošanas darbus.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5.16.</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Ārējo tīklu novērtējuma robežas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Aprakstīt ar ēku saistīto ārējo inženiertīklu un pievadu vizuāli pieejamo daļu stāvokli un sniegt rekomendācijas turpmākai specializētai pārbaudei, ja tā nepieciešama.</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5.17.</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Kopsavilkums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Apkopot ēkas kopējo tehnisko stāvokli, raksturīgākās problēmas, konstrukciju un sistēmu nolietojumu un paredzamo turpmākās ekspluatācijas iespēju.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5.18.</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Secinājumi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Sniegt secinājumus par būves nestspēju, stabilitāti un drošu turpmāko ekspluatāciju. Skaidri norādīt pirmsavārijas vai avārijas pazīmes, ja tādas konstatētas.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5.19.</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Darbu prioritātes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Sagatavot prioritizētu neatliekamo, īstermiņa un plānveida darbu sarakstu ar ieteicamo izpildes secību un termiņiem, kā arī priekšlikumus energoefektivitātes, komforta un ēkas ekspluatācijas ilguma uzlabošanai.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5.20.</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Atzinuma fotofiksācijas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Pievienot fotofiksācijas ar faktiskās situācijas un bojājumu aprakstiem.</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5.21.</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Atzinuma grafiskā daļa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Pievienot būves atrašanās vietu, stāvu plānus, fasāžu shēmas, mezglus vai skices, norādot bojājumu veidus un vietas, uzmērījumu un atsegumu vietas.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6.1.</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Vizuālā apsekošana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Izmantot vizuālo apsekošanu, uzmērīšanu, fotofiksāciju un atbilstošus kontroles mērinstrumentus.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6.2.</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Detalizētā izpēte</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Ja nepieciešams pamatotu secinājumu sagatavošanai, veikt zondāžu, urbumus, skatrakumus vai konstrukciju atsegumus.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6.3.</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Instrumentālie mērījumi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Konstrukciju nestspējas, pārvietojumu, sēšanās, sānsveres, izlieču, plaisu vai deformāciju novērtēšanai izmantot atbilstošus instrumentālos mērījumus un, ja nepieciešams, monitoringu.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6.4.</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Segto konstrukciju pārbaude</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Segto konstrukciju defektus un bojājumus izpētīt, ja apsekošanas gaitā konstatētas pazīmes, kas pamato detalizētu pārbaudi.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6.5.</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Kontrolslogošana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Kontrolslogošanu vai citas paaugstināta riska pārbaudes veikt tikai pamatotas nepieciešamības gadījumā un iepriekš rakstiski saskaņojot ar Pasūtītāju.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6.6.</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Metožu dokumentēšana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Visas izmantotās metodes, mērījumu vietas, rezultātus un apsekošanas ierobežojumus dokumentēt attiecīgā objekta atzinumā.</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7.</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Tehnisko noteikumu pieprasīšana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Ja nepieciešami tehniskie noteikumi vai informācija no atbildīgajām institūcijām, Pretendents tos pieprasa patstāvīgi, izmantojot Būvniecības informācijas sistēmu vai citu noteikto kārtību.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8.</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Saskaņojumi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Apsekošanas gaitu un tehniskās apsekošanas atzinumus nepieciešamajā apjomā saskaņot ar SIA “Komunālserviss TILDe” speciālistiem, atbildīgajām institūcijām un trešajām personām, tostarp dzīvokļu īpašniekiem, kuru tiesības vai īpašums var tikt skarts.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9.1.</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Atzinumu detalizācijas pakāpe</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Katru atzinumu izstrādāt tādā detalizācijas pakāpē, lai, pamatojoties uz to, varētu nepārprotami plānot un pasūtīt nepieciešamos uzturēšanas, remonta, atjaunošanas, pārbūves vai būvniecības ieceres dokumentācijas darbus.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9.2.</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Uzdevuma precizēšana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Apsekošanas uzdevumu darbu gaitā drīkst precizēt tikai pēc saskaņošanas ar Pasūtītāju.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9.3.</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Piedāvājuma cenas tvērums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Piedāvājuma kopējā cenā un katra objekta cenas pozīcijā jāiekļauj visi apsekošanas, mērījumu, izpētes, dokumentēšanas un citi profesionāli paredzamie darbi. Papildu samaksa par piedāvājumā neiekļautiem, bet uzdevuma izpildei nepieciešamiem darbiem netiks atzīta.</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9.4.</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Objektu apmeklējums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Pirms finanšu piedāvājuma sagatavošanas Pretendentam ieteicams apmeklēt visus objektus un veikt to vizuālo novērtēšanu. Iebildumi par apstākļiem, kurus bija iespējams konstatēt pirms piedāvājuma iesniegšanas, pēc līguma noslēgšanas netiks atzīti par pamatu līgumcenas palielināšanai.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9.5.</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Resursi un piekļuve</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Pretendents apsekošanu veic par saviem līdzekļiem un nodrošina nepieciešamos instrumentus, iekārtas, individuālos aizsardzības līdzekļus, pacelšanas mehānismus un citus resursus. Piekļuvi ēku koplietošanas telpām un konstrukcijām savas kompetences ietvaros nodrošina Pasūtītājs, iepriekš saskaņojot laiku.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6"/>
              </w:rPr>
            </w:r>
            <w:r>
              <w:rPr>
                <w:rFonts w:ascii="Aptos" w:hAnsi="Aptos"/>
                <w:b w:val="0"/>
                <w:i w:val="0"/>
                <w:color w:val="000000"/>
                <w:sz w:val="16"/>
              </w:rPr>
              <w:t>10.</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6"/>
              </w:rPr>
            </w:r>
            <w:r>
              <w:rPr>
                <w:rFonts w:ascii="Aptos" w:hAnsi="Aptos"/>
                <w:b w:val="0"/>
                <w:i w:val="0"/>
                <w:color w:val="000000"/>
                <w:sz w:val="16"/>
              </w:rPr>
              <w:t>Atzinumu nodošana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6"/>
              </w:rPr>
            </w:r>
            <w:r>
              <w:rPr>
                <w:rFonts w:ascii="Aptos" w:hAnsi="Aptos"/>
                <w:b w:val="0"/>
                <w:i w:val="0"/>
                <w:color w:val="000000"/>
                <w:sz w:val="16"/>
              </w:rPr>
              <w:t>Par katru objektu sagatavot atsevišķu atzinumu un reģistrēt to Būvniecības informācijas sistēmā, ja to paredz normatīvie akti. Pasūtītājam par katru objektu iesniegt divus parakstītus izdrukātus eksemplārus. Atzinumus ar visiem pielikumiem iesniegt arī PDF un DOCX formātā, nosūtot uz info@ktilde.lv vai nododot elektroniskā datu nesējā.</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9071"/>
      </w:tblGrid>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Datums: ____________________________________________________________________________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paraksts: 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amats, vārds un uzvārds: ________________________________________</w:t>
            </w:r>
          </w:p>
        </w:tc>
      </w:tr>
    </w:tbl>
    <w:sectPr>
      <w:pgSz w:h="16838" w:w="11906" w:orient="portrait"/>
      <w:pgMar w:bottom="1134" w:top="1247" w:left="1417" w:right="141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after="80" w:line="259" w:lineRule="auto"/>
    </w:pPr>
    <w:rPr>
      <w:rFonts w:ascii="Aptos" w:hAnsi="Aptos"/>
      <w:color w:val="000000"/>
      <w:sz w:val="20"/>
    </w:rPr>
  </w:style>
  <w:style w:type="paragraph" w:styleId="Heading1">
    <w:name w:val="heading 1"/>
    <w:basedOn w:val="Normal"/>
    <w:next w:val="Normal"/>
    <w:pPr>
      <w:keepNext/>
      <w:keepLines w:val="1"/>
      <w:pageBreakBefore w:val="0"/>
      <w:spacing w:after="80" w:before="200" w:lineRule="auto"/>
    </w:pPr>
    <w:rPr>
      <w:rFonts w:ascii="Aptos" w:hAnsi="Aptos"/>
      <w:b/>
      <w:bCs w:val="1"/>
      <w:color w:val="000000"/>
      <w:sz w:val="22"/>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keepLines w:val="1"/>
      <w:pageBreakBefore w:val="0"/>
      <w:spacing w:after="160" w:before="480" w:lineRule="auto"/>
      <w:jc w:val="center"/>
    </w:pPr>
    <w:rPr>
      <w:rFonts w:ascii="Aptos Display" w:hAnsi="Aptos Display"/>
      <w:b/>
      <w:bCs w:val="1"/>
      <w:color w:val="000000"/>
      <w:sz w:val="3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customStyle="1" w:styleId="ListBullet">
    <w:name w:val="List Bullet"/>
    <w:basedOn w:val="Normal"/>
    <w:pPr>
      <w:ind w:left="369" w:hanging="198"/>
    </w:pPr>
    <w:rPr>
      <w:rFonts w:ascii="Aptos" w:hAnsi="Aptos"/>
      <w:sz w:val="20"/>
    </w:rPr>
  </w:style>
  <w:style w:type="paragraph" w:customStyle="1" w:styleId="ListBullet2">
    <w:name w:val="List Bullet 2"/>
    <w:basedOn w:val="Normal"/>
    <w:pPr>
      <w:ind w:left="709" w:hanging="198"/>
    </w:pPr>
    <w:rPr>
      <w:rFonts w:ascii="Aptos" w:hAnsi="Aptos"/>
      <w:sz w:val="20"/>
    </w:rPr>
  </w:style>
  <w:style w:type="paragraph" w:customStyle="1" w:styleId="ListNumber">
    <w:name w:val="List Number"/>
    <w:basedOn w:val="Normal"/>
    <w:pPr>
      <w:ind w:left="369" w:hanging="198"/>
    </w:pPr>
    <w:rPr>
      <w:rFonts w:ascii="Aptos" w:hAnsi="Aptos"/>
      <w:sz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ktilde.l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FuerXTyUfhpNcQiCIhNa1WhaxA==">CgMxLjAyDmgua2Q1N2czdTR5NmlwOAByITFoX0xSX3h3dkJWY3dqZm4yUF9DQXU4S0c2Ym5sQlVvdQ==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