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word/document.xml" ContentType="application/vnd.openxmlformats-officedocument.wordprocessingml.document.main+xml"/>
  <Override PartName="/word/fontTable.xml" ContentType="application/vnd.openxmlformats-officedocument.wordprocessingml.fontTable+xml"/>
  <Override PartName="/word/fonts/NotoSansSymbols-bold.ttf" ContentType="application/x-font-ttf"/>
  <Override PartName="/word/fonts/NotoSansSymbols-regular.ttf" ContentType="application/x-font-tt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pPr>
        <w:jc w:val="right"/>
      </w:pPr>
      <w:r>
        <w:rPr>
          <w:rFonts w:ascii="Aptos" w:hAnsi="Aptos"/>
          <w:b/>
          <w:i w:val="0"/>
          <w:color w:val="000000"/>
          <w:sz w:val="18"/>
        </w:rPr>
        <w:t>2. pielikums</w:t>
      </w:r>
    </w:p>
    <w:p>
      <w:pPr>
        <w:pStyle w:val="Title"/>
      </w:pPr>
      <w:r>
        <w:t>Apsekošanas uzdevums</w:t>
      </w:r>
    </w:p>
    <w:p>
      <w:pPr>
        <w:spacing w:after="60"/>
        <w:jc w:val="center"/>
      </w:pPr>
      <w:r>
        <w:rPr>
          <w:rFonts w:ascii="Aptos" w:hAnsi="Aptos"/>
          <w:b/>
          <w:i w:val="0"/>
          <w:color w:val="000000"/>
          <w:sz w:val="22"/>
        </w:rPr>
        <w:t>Daudzdzīvokļu dzīvojamās mājas Draudzības ielā 5, Smārdē, Smārdes pagastā, Tukuma novadā tehniskajai apsekošanai</w:t>
      </w:r>
    </w:p>
    <w:p>
      <w:pPr>
        <w:spacing w:after="200"/>
        <w:jc w:val="center"/>
      </w:pPr>
      <w:r>
        <w:rPr>
          <w:rFonts w:ascii="Aptos" w:hAnsi="Aptos"/>
          <w:b w:val="0"/>
          <w:i w:val="0"/>
          <w:color w:val="595959"/>
          <w:sz w:val="18"/>
        </w:rPr>
        <w:t>Cenu aptaujas Nr. 1-18/15</w:t>
      </w:r>
    </w:p>
    <w:p>
      <w:pPr>
        <w:keepLines w:val="0"/>
      </w:pPr>
      <w:r>
        <w:rPr>
          <w:rFonts w:ascii="Aptos" w:hAnsi="Aptos"/>
          <w:b w:val="0"/>
          <w:i w:val="0"/>
          <w:color w:val="000000"/>
          <w:sz w:val="20"/>
        </w:rPr>
        <w:t>Tehnisko apsekošanu veic sertificēti būvspeciālisti atbilstoši Ministru kabineta 2018. gada 20. marta noteikumiem Nr. 169 “Būvspeciālistu kompetences novērtēšanas un patstāvīgās prakses uzraudzības noteikumi”. Apsekošanas veicējiem jābūt profesionālās civiltiesiskās atbildības apdrošināšanai saskaņā ar Ministru kabineta 2014. gada 19. augusta noteikumiem Nr. 502 “Noteikumi par būvspeciālistu un būvdarbu veicēju civiltiesiskās atbildības obligāto apdrošināšanu”. Normatīvie akti piemērojami to spēkā esošajā redakcijā.</w:t>
      </w:r>
    </w:p>
    <w:tbl>
      <w:tblPr>
        <w:tblW w:type="auto" w:w="0"/>
        <w:jc w:val="center"/>
        <w:tblLayout w:type="fixed"/>
        <w:tblLook w:firstColumn="1" w:firstRow="1" w:lastColumn="0" w:lastRow="0" w:noHBand="0" w:noVBand="1" w:val="04A0"/>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Pr>
      <w:tblGrid>
        <w:gridCol w:w="3024"/>
        <w:gridCol w:w="3024"/>
        <w:gridCol w:w="3024"/>
      </w:tblGrid>
      <w:tr>
        <w:trPr>
          <w:tblHeader w:val="true"/>
          <w:cantSplit/>
        </w:trPr>
        <w:tc>
          <w:tcPr>
            <w:tcW w:type="dxa" w:w="567"/>
            <w:vAlign w:val="center"/>
            <w:tcMar>
              <w:top w:w="100" w:type="dxa"/>
              <w:start w:w="120" w:type="dxa"/>
              <w:bottom w:w="100" w:type="dxa"/>
              <w:end w:w="120" w:type="dxa"/>
            </w:tcMar>
            <w:shd w:fill="1F4E78"/>
          </w:tcPr>
          <w:p>
            <w:pPr>
              <w:spacing w:after="20" w:line="240" w:lineRule="auto"/>
              <w:jc w:val="center"/>
            </w:pPr>
            <w:r>
              <w:rPr>
                <w:rFonts w:ascii="Aptos" w:hAnsi="Aptos"/>
                <w:b/>
                <w:i w:val="0"/>
                <w:color w:val="FFFFFF"/>
                <w:sz w:val="17"/>
              </w:rPr>
            </w:r>
            <w:r>
              <w:rPr>
                <w:rFonts w:ascii="Aptos" w:hAnsi="Aptos"/>
                <w:b/>
                <w:i w:val="0"/>
                <w:color w:val="FFFFFF"/>
                <w:sz w:val="17"/>
              </w:rPr>
              <w:t>Nr.</w:t>
            </w:r>
          </w:p>
        </w:tc>
        <w:tc>
          <w:tcPr>
            <w:tcW w:type="dxa" w:w="2438"/>
            <w:vAlign w:val="center"/>
            <w:tcMar>
              <w:top w:w="100" w:type="dxa"/>
              <w:start w:w="120" w:type="dxa"/>
              <w:bottom w:w="100" w:type="dxa"/>
              <w:end w:w="120" w:type="dxa"/>
            </w:tcMar>
            <w:shd w:fill="1F4E78"/>
          </w:tcPr>
          <w:p>
            <w:pPr>
              <w:spacing w:after="20" w:line="240" w:lineRule="auto"/>
              <w:jc w:val="center"/>
            </w:pPr>
            <w:r>
              <w:rPr>
                <w:rFonts w:ascii="Aptos" w:hAnsi="Aptos"/>
                <w:b/>
                <w:i w:val="0"/>
                <w:color w:val="FFFFFF"/>
                <w:sz w:val="17"/>
              </w:rPr>
            </w:r>
            <w:r>
              <w:rPr>
                <w:rFonts w:ascii="Aptos" w:hAnsi="Aptos"/>
                <w:b/>
                <w:i w:val="0"/>
                <w:color w:val="FFFFFF"/>
                <w:sz w:val="17"/>
              </w:rPr>
              <w:t>Uzdevuma daļa</w:t>
            </w:r>
          </w:p>
        </w:tc>
        <w:tc>
          <w:tcPr>
            <w:tcW w:type="dxa" w:w="6066"/>
            <w:vAlign w:val="center"/>
            <w:tcMar>
              <w:top w:w="100" w:type="dxa"/>
              <w:start w:w="120" w:type="dxa"/>
              <w:bottom w:w="100" w:type="dxa"/>
              <w:end w:w="120" w:type="dxa"/>
            </w:tcMar>
            <w:shd w:fill="1F4E78"/>
          </w:tcPr>
          <w:p>
            <w:pPr>
              <w:spacing w:after="20" w:line="240" w:lineRule="auto"/>
              <w:jc w:val="center"/>
            </w:pPr>
            <w:r>
              <w:rPr>
                <w:rFonts w:ascii="Aptos" w:hAnsi="Aptos"/>
                <w:b/>
                <w:i w:val="0"/>
                <w:color w:val="FFFFFF"/>
                <w:sz w:val="17"/>
              </w:rPr>
            </w:r>
            <w:r>
              <w:rPr>
                <w:rFonts w:ascii="Aptos" w:hAnsi="Aptos"/>
                <w:b/>
                <w:i w:val="0"/>
                <w:color w:val="FFFFFF"/>
                <w:sz w:val="17"/>
              </w:rPr>
              <w:t>Prasības</w:t>
            </w:r>
          </w:p>
        </w:tc>
      </w:tr>
      <w:tr>
        <w:trPr>
          <w:cantSplit/>
        </w:trPr>
        <w:tc>
          <w:tcPr>
            <w:tcW w:type="dxa" w:w="567"/>
            <w:vAlign w:val="top"/>
            <w:tcMar>
              <w:top w:w="100" w:type="dxa"/>
              <w:start w:w="120" w:type="dxa"/>
              <w:bottom w:w="100" w:type="dxa"/>
              <w:end w:w="120" w:type="dxa"/>
            </w:tcMar>
          </w:tcPr>
          <w:p>
            <w:pPr>
              <w:spacing w:after="20" w:line="240" w:lineRule="auto"/>
              <w:jc w:val="center"/>
            </w:pPr>
            <w:r>
              <w:rPr>
                <w:rFonts w:ascii="Aptos" w:hAnsi="Aptos"/>
                <w:b w:val="0"/>
                <w:i w:val="0"/>
                <w:color w:val="000000"/>
                <w:sz w:val="17"/>
              </w:rPr>
            </w:r>
            <w:r>
              <w:rPr>
                <w:rFonts w:ascii="Aptos" w:hAnsi="Aptos"/>
                <w:b w:val="0"/>
                <w:i w:val="0"/>
                <w:color w:val="000000"/>
                <w:sz w:val="17"/>
              </w:rPr>
              <w:t>1.</w:t>
            </w:r>
          </w:p>
        </w:tc>
        <w:tc>
          <w:tcPr>
            <w:tcW w:type="dxa" w:w="2438"/>
            <w:vAlign w:val="top"/>
            <w:tcMar>
              <w:top w:w="100" w:type="dxa"/>
              <w:start w:w="120" w:type="dxa"/>
              <w:bottom w:w="100" w:type="dxa"/>
              <w:end w:w="120" w:type="dxa"/>
            </w:tcMar>
          </w:tcPr>
          <w:p>
            <w:pPr>
              <w:spacing w:after="20" w:line="240" w:lineRule="auto"/>
              <w:jc w:val="left"/>
            </w:pPr>
            <w:r>
              <w:rPr>
                <w:rFonts w:ascii="Aptos" w:hAnsi="Aptos"/>
                <w:b w:val="0"/>
                <w:i w:val="0"/>
                <w:color w:val="000000"/>
                <w:sz w:val="17"/>
              </w:rPr>
            </w:r>
            <w:r>
              <w:rPr>
                <w:rFonts w:ascii="Aptos" w:hAnsi="Aptos"/>
                <w:b w:val="0"/>
                <w:i w:val="0"/>
                <w:color w:val="000000"/>
                <w:sz w:val="17"/>
              </w:rPr>
              <w:t>Ēkas adrese</w:t>
            </w:r>
          </w:p>
        </w:tc>
        <w:tc>
          <w:tcPr>
            <w:tcW w:type="dxa" w:w="6066"/>
            <w:vAlign w:val="top"/>
            <w:tcMar>
              <w:top w:w="100" w:type="dxa"/>
              <w:start w:w="120" w:type="dxa"/>
              <w:bottom w:w="100" w:type="dxa"/>
              <w:end w:w="120" w:type="dxa"/>
            </w:tcMar>
          </w:tcPr>
          <w:p>
            <w:pPr>
              <w:spacing w:after="20" w:line="240" w:lineRule="auto"/>
            </w:pPr>
            <w:r>
              <w:rPr>
                <w:rFonts w:ascii="Aptos" w:hAnsi="Aptos"/>
                <w:b w:val="0"/>
                <w:i w:val="0"/>
                <w:color w:val="000000"/>
                <w:sz w:val="17"/>
              </w:rPr>
            </w:r>
            <w:r>
              <w:rPr>
                <w:rFonts w:ascii="Aptos" w:hAnsi="Aptos"/>
                <w:b w:val="0"/>
                <w:i w:val="0"/>
                <w:color w:val="000000"/>
                <w:sz w:val="17"/>
              </w:rPr>
              <w:t>Draudzības iela 5, Smārde, Smārdes pagasts, Tukuma novads, LV-3129</w:t>
            </w:r>
          </w:p>
        </w:tc>
      </w:tr>
      <w:tr>
        <w:trPr>
          <w:cantSplit/>
        </w:trPr>
        <w:tc>
          <w:tcPr>
            <w:tcW w:type="dxa" w:w="567"/>
            <w:shd w:fill="F4F8FC"/>
            <w:vAlign w:val="top"/>
            <w:tcMar>
              <w:top w:w="100" w:type="dxa"/>
              <w:start w:w="120" w:type="dxa"/>
              <w:bottom w:w="100" w:type="dxa"/>
              <w:end w:w="120" w:type="dxa"/>
            </w:tcMar>
          </w:tcPr>
          <w:p>
            <w:pPr>
              <w:spacing w:after="20" w:line="240" w:lineRule="auto"/>
              <w:jc w:val="center"/>
            </w:pPr>
            <w:r>
              <w:rPr>
                <w:rFonts w:ascii="Aptos" w:hAnsi="Aptos"/>
                <w:b w:val="0"/>
                <w:i w:val="0"/>
                <w:color w:val="000000"/>
                <w:sz w:val="17"/>
              </w:rPr>
            </w:r>
            <w:r>
              <w:rPr>
                <w:rFonts w:ascii="Aptos" w:hAnsi="Aptos"/>
                <w:b w:val="0"/>
                <w:i w:val="0"/>
                <w:color w:val="000000"/>
                <w:sz w:val="17"/>
              </w:rPr>
              <w:t>2.</w:t>
            </w:r>
          </w:p>
        </w:tc>
        <w:tc>
          <w:tcPr>
            <w:tcW w:type="dxa" w:w="2438"/>
            <w:shd w:fill="F4F8FC"/>
            <w:vAlign w:val="top"/>
            <w:tcMar>
              <w:top w:w="100" w:type="dxa"/>
              <w:start w:w="120" w:type="dxa"/>
              <w:bottom w:w="100" w:type="dxa"/>
              <w:end w:w="120" w:type="dxa"/>
            </w:tcMar>
          </w:tcPr>
          <w:p>
            <w:pPr>
              <w:spacing w:after="20" w:line="240" w:lineRule="auto"/>
              <w:jc w:val="left"/>
            </w:pPr>
            <w:r>
              <w:rPr>
                <w:rFonts w:ascii="Aptos" w:hAnsi="Aptos"/>
                <w:b w:val="0"/>
                <w:i w:val="0"/>
                <w:color w:val="000000"/>
                <w:sz w:val="17"/>
              </w:rPr>
            </w:r>
            <w:r>
              <w:rPr>
                <w:rFonts w:ascii="Aptos" w:hAnsi="Aptos"/>
                <w:b w:val="0"/>
                <w:i w:val="0"/>
                <w:color w:val="000000"/>
                <w:sz w:val="17"/>
              </w:rPr>
              <w:t>Būves grupa</w:t>
            </w:r>
          </w:p>
        </w:tc>
        <w:tc>
          <w:tcPr>
            <w:tcW w:type="dxa" w:w="6066"/>
            <w:shd w:fill="F4F8FC"/>
            <w:vAlign w:val="top"/>
            <w:tcMar>
              <w:top w:w="100" w:type="dxa"/>
              <w:start w:w="120" w:type="dxa"/>
              <w:bottom w:w="100" w:type="dxa"/>
              <w:end w:w="120" w:type="dxa"/>
            </w:tcMar>
          </w:tcPr>
          <w:p>
            <w:pPr>
              <w:spacing w:after="20" w:line="240" w:lineRule="auto"/>
            </w:pPr>
            <w:r>
              <w:rPr>
                <w:rFonts w:ascii="Aptos" w:hAnsi="Aptos"/>
                <w:b w:val="0"/>
                <w:i w:val="0"/>
                <w:color w:val="000000"/>
                <w:sz w:val="17"/>
              </w:rPr>
            </w:r>
            <w:r>
              <w:rPr>
                <w:rFonts w:ascii="Aptos" w:hAnsi="Aptos"/>
                <w:b w:val="0"/>
                <w:i w:val="0"/>
                <w:color w:val="000000"/>
                <w:sz w:val="17"/>
              </w:rPr>
              <w:t>II grupa</w:t>
            </w:r>
          </w:p>
        </w:tc>
      </w:tr>
      <w:tr>
        <w:trPr>
          <w:cantSplit/>
        </w:trPr>
        <w:tc>
          <w:tcPr>
            <w:tcW w:type="dxa" w:w="567"/>
            <w:vAlign w:val="top"/>
            <w:tcMar>
              <w:top w:w="100" w:type="dxa"/>
              <w:start w:w="120" w:type="dxa"/>
              <w:bottom w:w="100" w:type="dxa"/>
              <w:end w:w="120" w:type="dxa"/>
            </w:tcMar>
          </w:tcPr>
          <w:p>
            <w:pPr>
              <w:spacing w:after="20" w:line="240" w:lineRule="auto"/>
              <w:jc w:val="center"/>
            </w:pPr>
            <w:r>
              <w:rPr>
                <w:rFonts w:ascii="Aptos" w:hAnsi="Aptos"/>
                <w:b w:val="0"/>
                <w:i w:val="0"/>
                <w:color w:val="000000"/>
                <w:sz w:val="17"/>
              </w:rPr>
            </w:r>
            <w:r>
              <w:rPr>
                <w:rFonts w:ascii="Aptos" w:hAnsi="Aptos"/>
                <w:b w:val="0"/>
                <w:i w:val="0"/>
                <w:color w:val="000000"/>
                <w:sz w:val="17"/>
              </w:rPr>
              <w:t>3.</w:t>
            </w:r>
          </w:p>
        </w:tc>
        <w:tc>
          <w:tcPr>
            <w:tcW w:type="dxa" w:w="2438"/>
            <w:vAlign w:val="top"/>
            <w:tcMar>
              <w:top w:w="100" w:type="dxa"/>
              <w:start w:w="120" w:type="dxa"/>
              <w:bottom w:w="100" w:type="dxa"/>
              <w:end w:w="120" w:type="dxa"/>
            </w:tcMar>
          </w:tcPr>
          <w:p>
            <w:pPr>
              <w:spacing w:after="20" w:line="240" w:lineRule="auto"/>
              <w:jc w:val="left"/>
            </w:pPr>
            <w:r>
              <w:rPr>
                <w:rFonts w:ascii="Aptos" w:hAnsi="Aptos"/>
                <w:b w:val="0"/>
                <w:i w:val="0"/>
                <w:color w:val="000000"/>
                <w:sz w:val="17"/>
              </w:rPr>
            </w:r>
            <w:r>
              <w:rPr>
                <w:rFonts w:ascii="Aptos" w:hAnsi="Aptos"/>
                <w:b w:val="0"/>
                <w:i w:val="0"/>
                <w:color w:val="000000"/>
                <w:sz w:val="17"/>
              </w:rPr>
              <w:t>Ēkas funkcija un parametri</w:t>
            </w:r>
          </w:p>
        </w:tc>
        <w:tc>
          <w:tcPr>
            <w:tcW w:type="dxa" w:w="6066"/>
            <w:vAlign w:val="top"/>
            <w:tcMar>
              <w:top w:w="100" w:type="dxa"/>
              <w:start w:w="120" w:type="dxa"/>
              <w:bottom w:w="100" w:type="dxa"/>
              <w:end w:w="120" w:type="dxa"/>
            </w:tcMar>
          </w:tcPr>
          <w:p>
            <w:pPr>
              <w:spacing w:after="20" w:line="240" w:lineRule="auto"/>
            </w:pPr>
            <w:r>
              <w:rPr>
                <w:rFonts w:ascii="Aptos" w:hAnsi="Aptos"/>
                <w:b w:val="0"/>
                <w:i w:val="0"/>
                <w:color w:val="000000"/>
                <w:sz w:val="17"/>
              </w:rPr>
            </w:r>
            <w:r>
              <w:rPr>
                <w:rFonts w:ascii="Aptos" w:hAnsi="Aptos"/>
                <w:b w:val="0"/>
                <w:i w:val="0"/>
                <w:color w:val="000000"/>
                <w:sz w:val="17"/>
              </w:rPr>
              <w:t>Daudzdzīvokļu dzīvojamā māja.</w:t>
            </w:r>
          </w:p>
          <w:p>
            <w:pPr>
              <w:spacing w:after="20" w:line="240" w:lineRule="auto"/>
            </w:pPr>
            <w:r>
              <w:rPr>
                <w:rFonts w:ascii="Aptos" w:hAnsi="Aptos"/>
                <w:b w:val="0"/>
                <w:i w:val="0"/>
                <w:color w:val="000000"/>
                <w:sz w:val="17"/>
              </w:rPr>
              <w:t>Būves kadastra apzīmējums: 90820100250001 (zemes kadastra Nr. 9082 010 0250, būve Nr. 1).</w:t>
            </w:r>
          </w:p>
          <w:p>
            <w:pPr>
              <w:spacing w:after="20" w:line="240" w:lineRule="auto"/>
            </w:pPr>
            <w:r>
              <w:rPr>
                <w:rFonts w:ascii="Aptos" w:hAnsi="Aptos"/>
                <w:b w:val="0"/>
                <w:i w:val="0"/>
                <w:color w:val="000000"/>
                <w:sz w:val="17"/>
              </w:rPr>
              <w:t>Ēkas kopējā platība: 476,30 m².</w:t>
            </w:r>
          </w:p>
          <w:p>
            <w:pPr>
              <w:spacing w:after="20" w:line="240" w:lineRule="auto"/>
            </w:pPr>
            <w:r>
              <w:rPr>
                <w:rFonts w:ascii="Aptos" w:hAnsi="Aptos"/>
                <w:b w:val="0"/>
                <w:i w:val="0"/>
                <w:color w:val="000000"/>
                <w:sz w:val="17"/>
              </w:rPr>
              <w:t>Apbūves laukums: 224,50 m².</w:t>
            </w:r>
          </w:p>
          <w:p>
            <w:pPr>
              <w:spacing w:after="20" w:line="240" w:lineRule="auto"/>
            </w:pPr>
            <w:r>
              <w:rPr>
                <w:rFonts w:ascii="Aptos" w:hAnsi="Aptos"/>
                <w:b w:val="0"/>
                <w:i w:val="0"/>
                <w:color w:val="000000"/>
                <w:sz w:val="17"/>
              </w:rPr>
              <w:t>Būvtilpums: 1623 m³.</w:t>
            </w:r>
          </w:p>
          <w:p>
            <w:pPr>
              <w:spacing w:after="20" w:line="240" w:lineRule="auto"/>
            </w:pPr>
            <w:r>
              <w:rPr>
                <w:rFonts w:ascii="Aptos" w:hAnsi="Aptos"/>
                <w:b w:val="0"/>
                <w:i w:val="0"/>
                <w:color w:val="000000"/>
                <w:sz w:val="17"/>
              </w:rPr>
              <w:t>Stāvu skaits: 2.</w:t>
            </w:r>
          </w:p>
          <w:p>
            <w:pPr>
              <w:spacing w:after="20" w:line="240" w:lineRule="auto"/>
            </w:pPr>
            <w:r>
              <w:rPr>
                <w:rFonts w:ascii="Aptos" w:hAnsi="Aptos"/>
                <w:b w:val="0"/>
                <w:i w:val="0"/>
                <w:color w:val="000000"/>
                <w:sz w:val="17"/>
              </w:rPr>
              <w:t>Dzīvokļu skaits: 8.</w:t>
            </w:r>
          </w:p>
        </w:tc>
      </w:tr>
      <w:tr>
        <w:trPr>
          <w:cantSplit/>
        </w:trPr>
        <w:tc>
          <w:tcPr>
            <w:tcW w:type="dxa" w:w="567"/>
            <w:shd w:fill="F4F8FC"/>
            <w:vAlign w:val="top"/>
            <w:tcMar>
              <w:top w:w="100" w:type="dxa"/>
              <w:start w:w="120" w:type="dxa"/>
              <w:bottom w:w="100" w:type="dxa"/>
              <w:end w:w="120" w:type="dxa"/>
            </w:tcMar>
          </w:tcPr>
          <w:p>
            <w:pPr>
              <w:spacing w:after="20" w:line="240" w:lineRule="auto"/>
              <w:jc w:val="center"/>
            </w:pPr>
            <w:r>
              <w:rPr>
                <w:rFonts w:ascii="Aptos" w:hAnsi="Aptos"/>
                <w:b w:val="0"/>
                <w:i w:val="0"/>
                <w:color w:val="000000"/>
                <w:sz w:val="17"/>
              </w:rPr>
            </w:r>
            <w:r>
              <w:rPr>
                <w:rFonts w:ascii="Aptos" w:hAnsi="Aptos"/>
                <w:b w:val="0"/>
                <w:i w:val="0"/>
                <w:color w:val="000000"/>
                <w:sz w:val="17"/>
              </w:rPr>
              <w:t>4.</w:t>
            </w:r>
          </w:p>
        </w:tc>
        <w:tc>
          <w:tcPr>
            <w:tcW w:type="dxa" w:w="2438"/>
            <w:shd w:fill="F4F8FC"/>
            <w:vAlign w:val="top"/>
            <w:tcMar>
              <w:top w:w="100" w:type="dxa"/>
              <w:start w:w="120" w:type="dxa"/>
              <w:bottom w:w="100" w:type="dxa"/>
              <w:end w:w="120" w:type="dxa"/>
            </w:tcMar>
          </w:tcPr>
          <w:p>
            <w:pPr>
              <w:spacing w:after="20" w:line="240" w:lineRule="auto"/>
              <w:jc w:val="left"/>
            </w:pPr>
            <w:r>
              <w:rPr>
                <w:rFonts w:ascii="Aptos" w:hAnsi="Aptos"/>
                <w:b w:val="0"/>
                <w:i w:val="0"/>
                <w:color w:val="000000"/>
                <w:sz w:val="17"/>
              </w:rPr>
            </w:r>
            <w:r>
              <w:rPr>
                <w:rFonts w:ascii="Aptos" w:hAnsi="Aptos"/>
                <w:b w:val="0"/>
                <w:i w:val="0"/>
                <w:color w:val="000000"/>
                <w:sz w:val="17"/>
              </w:rPr>
              <w:t>Apsekošanas mērķis</w:t>
            </w:r>
          </w:p>
        </w:tc>
        <w:tc>
          <w:tcPr>
            <w:tcW w:type="dxa" w:w="6066"/>
            <w:shd w:fill="F4F8FC"/>
            <w:vAlign w:val="top"/>
            <w:tcMar>
              <w:top w:w="100" w:type="dxa"/>
              <w:start w:w="120" w:type="dxa"/>
              <w:bottom w:w="100" w:type="dxa"/>
              <w:end w:w="120" w:type="dxa"/>
            </w:tcMar>
          </w:tcPr>
          <w:p>
            <w:pPr>
              <w:spacing w:after="20" w:line="240" w:lineRule="auto"/>
            </w:pPr>
            <w:r>
              <w:rPr>
                <w:rFonts w:ascii="Aptos" w:hAnsi="Aptos"/>
                <w:b w:val="0"/>
                <w:i w:val="0"/>
                <w:color w:val="000000"/>
                <w:sz w:val="17"/>
              </w:rPr>
            </w:r>
            <w:r>
              <w:rPr>
                <w:rFonts w:ascii="Aptos" w:hAnsi="Aptos"/>
                <w:b w:val="0"/>
                <w:i w:val="0"/>
                <w:color w:val="000000"/>
                <w:sz w:val="17"/>
              </w:rPr>
              <w:t>1. Noteikt visas daudzdzīvokļu dzīvojamās mājas faktisko tehnisko stāvokli, fizisko nolietojumu un atbilstību Būvniecības likuma 9. pantā noteiktajām būtiskajām prasībām.</w:t>
            </w:r>
          </w:p>
          <w:p>
            <w:pPr>
              <w:spacing w:after="20" w:line="240" w:lineRule="auto"/>
            </w:pPr>
            <w:r>
              <w:rPr>
                <w:rFonts w:ascii="Aptos" w:hAnsi="Aptos"/>
                <w:b w:val="0"/>
                <w:i w:val="0"/>
                <w:color w:val="000000"/>
                <w:sz w:val="17"/>
              </w:rPr>
            </w:r>
          </w:p>
          <w:p>
            <w:pPr>
              <w:spacing w:after="20" w:line="240" w:lineRule="auto"/>
            </w:pPr>
            <w:r>
              <w:rPr>
                <w:rFonts w:ascii="Aptos" w:hAnsi="Aptos"/>
                <w:b w:val="0"/>
                <w:i w:val="0"/>
                <w:color w:val="000000"/>
                <w:sz w:val="17"/>
              </w:rPr>
              <w:t>2. Īpašu uzmanību pievērst mehāniskajai stiprībai un stabilitātei, ugunsdrošībai, higiēnai, nekaitīgumam un vides aizsardzībai, lietošanas drošībai un vides pieejamībai, akustikai, energoefektivitātei un ilgtspējīgai dabas resursu izmantošanai.</w:t>
            </w:r>
          </w:p>
          <w:p>
            <w:pPr>
              <w:spacing w:after="20" w:line="240" w:lineRule="auto"/>
            </w:pPr>
            <w:r>
              <w:rPr>
                <w:rFonts w:ascii="Aptos" w:hAnsi="Aptos"/>
                <w:b w:val="0"/>
                <w:i w:val="0"/>
                <w:color w:val="000000"/>
                <w:sz w:val="17"/>
              </w:rPr>
            </w:r>
          </w:p>
          <w:p>
            <w:pPr>
              <w:spacing w:after="20" w:line="240" w:lineRule="auto"/>
            </w:pPr>
            <w:r>
              <w:rPr>
                <w:rFonts w:ascii="Aptos" w:hAnsi="Aptos"/>
                <w:b w:val="0"/>
                <w:i w:val="0"/>
                <w:color w:val="000000"/>
                <w:sz w:val="17"/>
              </w:rPr>
              <w:t>3. Izvērtēt ēkas pamatus, nesošās un norobežojošās konstrukcijas, pārsegumus, jumta konstrukcijas un segumu, fasādes, kāpnes, dūmvadus, ailas un ēkas koplietošanas inženiersistēmas.</w:t>
            </w:r>
          </w:p>
          <w:p>
            <w:pPr>
              <w:spacing w:after="20" w:line="240" w:lineRule="auto"/>
            </w:pPr>
            <w:r>
              <w:rPr>
                <w:rFonts w:ascii="Aptos" w:hAnsi="Aptos"/>
                <w:b w:val="0"/>
                <w:i w:val="0"/>
                <w:color w:val="000000"/>
                <w:sz w:val="17"/>
              </w:rPr>
            </w:r>
          </w:p>
          <w:p>
            <w:pPr>
              <w:spacing w:after="20" w:line="240" w:lineRule="auto"/>
            </w:pPr>
            <w:r>
              <w:rPr>
                <w:rFonts w:ascii="Aptos" w:hAnsi="Aptos"/>
                <w:b w:val="0"/>
                <w:i w:val="0"/>
                <w:color w:val="000000"/>
                <w:sz w:val="17"/>
              </w:rPr>
              <w:t>4. Noteikt bojātās vai nolietotās konstrukcijas, elementus un sistēmas, izvērtēt remonta, nomaiņas, pārbūves vai pastiprināšanas nepieciešamību un sniegt prioritizētus priekšlikumus ēkas turpmākai drošai ekspluatācijai.</w:t>
            </w:r>
          </w:p>
        </w:tc>
      </w:tr>
      <w:tr>
        <w:trPr>
          <w:cantSplit/>
        </w:trPr>
        <w:tc>
          <w:tcPr>
            <w:tcW w:type="dxa" w:w="567"/>
            <w:vAlign w:val="top"/>
            <w:tcMar>
              <w:top w:w="100" w:type="dxa"/>
              <w:start w:w="120" w:type="dxa"/>
              <w:bottom w:w="100" w:type="dxa"/>
              <w:end w:w="120" w:type="dxa"/>
            </w:tcMar>
          </w:tcPr>
          <w:p>
            <w:pPr>
              <w:spacing w:after="20" w:line="240" w:lineRule="auto"/>
              <w:jc w:val="center"/>
            </w:pPr>
            <w:r>
              <w:rPr>
                <w:rFonts w:ascii="Aptos" w:hAnsi="Aptos"/>
                <w:b w:val="0"/>
                <w:i w:val="0"/>
                <w:color w:val="000000"/>
                <w:sz w:val="17"/>
              </w:rPr>
            </w:r>
            <w:r>
              <w:rPr>
                <w:rFonts w:ascii="Aptos" w:hAnsi="Aptos"/>
                <w:b w:val="0"/>
                <w:i w:val="0"/>
                <w:color w:val="000000"/>
                <w:sz w:val="17"/>
              </w:rPr>
              <w:t>5.</w:t>
            </w:r>
          </w:p>
        </w:tc>
        <w:tc>
          <w:tcPr>
            <w:tcW w:type="dxa" w:w="2438"/>
            <w:vAlign w:val="top"/>
            <w:tcMar>
              <w:top w:w="100" w:type="dxa"/>
              <w:start w:w="120" w:type="dxa"/>
              <w:bottom w:w="100" w:type="dxa"/>
              <w:end w:w="120" w:type="dxa"/>
            </w:tcMar>
          </w:tcPr>
          <w:p>
            <w:pPr>
              <w:spacing w:after="20" w:line="240" w:lineRule="auto"/>
              <w:jc w:val="left"/>
            </w:pPr>
            <w:r>
              <w:rPr>
                <w:rFonts w:ascii="Aptos" w:hAnsi="Aptos"/>
                <w:b w:val="0"/>
                <w:i w:val="0"/>
                <w:color w:val="000000"/>
                <w:sz w:val="17"/>
              </w:rPr>
            </w:r>
            <w:r>
              <w:rPr>
                <w:rFonts w:ascii="Aptos" w:hAnsi="Aptos"/>
                <w:b w:val="0"/>
                <w:i w:val="0"/>
                <w:color w:val="000000"/>
                <w:sz w:val="17"/>
              </w:rPr>
              <w:t>Apsekošanas darbu kopējais apjoms</w:t>
            </w:r>
          </w:p>
        </w:tc>
        <w:tc>
          <w:tcPr>
            <w:tcW w:type="dxa" w:w="6066"/>
            <w:vAlign w:val="top"/>
            <w:tcMar>
              <w:top w:w="100" w:type="dxa"/>
              <w:start w:w="120" w:type="dxa"/>
              <w:bottom w:w="100" w:type="dxa"/>
              <w:end w:w="120" w:type="dxa"/>
            </w:tcMar>
          </w:tcPr>
          <w:p>
            <w:pPr>
              <w:spacing w:after="20" w:line="240" w:lineRule="auto"/>
            </w:pPr>
            <w:r>
              <w:rPr>
                <w:rFonts w:ascii="Aptos" w:hAnsi="Aptos"/>
                <w:b w:val="0"/>
                <w:i w:val="0"/>
                <w:color w:val="000000"/>
                <w:sz w:val="17"/>
              </w:rPr>
            </w:r>
            <w:r>
              <w:rPr>
                <w:rFonts w:ascii="Aptos" w:hAnsi="Aptos"/>
                <w:b w:val="0"/>
                <w:i w:val="0"/>
                <w:color w:val="000000"/>
                <w:sz w:val="17"/>
              </w:rPr>
              <w:t>Veikt visas ēkas tehnisko apsekošanu un sagatavot tehniskās apsekošanas atzinumu atbilstoši LBN 405-21 “Būvju tehniskās apsekošanas būvnormatīvs” spēkā esošajai redakcijai.</w:t>
            </w:r>
          </w:p>
        </w:tc>
      </w:tr>
      <w:tr>
        <w:trPr>
          <w:cantSplit/>
        </w:trPr>
        <w:tc>
          <w:tcPr>
            <w:tcW w:type="dxa" w:w="567"/>
            <w:shd w:fill="F4F8FC"/>
            <w:vAlign w:val="top"/>
            <w:tcMar>
              <w:top w:w="100" w:type="dxa"/>
              <w:start w:w="120" w:type="dxa"/>
              <w:bottom w:w="100" w:type="dxa"/>
              <w:end w:w="120" w:type="dxa"/>
            </w:tcMar>
          </w:tcPr>
          <w:p>
            <w:pPr>
              <w:spacing w:after="20" w:line="240" w:lineRule="auto"/>
              <w:jc w:val="center"/>
            </w:pPr>
            <w:r>
              <w:rPr>
                <w:rFonts w:ascii="Aptos" w:hAnsi="Aptos"/>
                <w:b w:val="0"/>
                <w:i w:val="0"/>
                <w:color w:val="000000"/>
                <w:sz w:val="17"/>
              </w:rPr>
            </w:r>
            <w:r>
              <w:rPr>
                <w:rFonts w:ascii="Aptos" w:hAnsi="Aptos"/>
                <w:b w:val="0"/>
                <w:i w:val="0"/>
                <w:color w:val="000000"/>
                <w:sz w:val="17"/>
              </w:rPr>
              <w:t>5.1.</w:t>
            </w:r>
          </w:p>
        </w:tc>
        <w:tc>
          <w:tcPr>
            <w:tcW w:type="dxa" w:w="2438"/>
            <w:shd w:fill="F4F8FC"/>
            <w:vAlign w:val="top"/>
            <w:tcMar>
              <w:top w:w="100" w:type="dxa"/>
              <w:start w:w="120" w:type="dxa"/>
              <w:bottom w:w="100" w:type="dxa"/>
              <w:end w:w="120" w:type="dxa"/>
            </w:tcMar>
          </w:tcPr>
          <w:p>
            <w:pPr>
              <w:spacing w:after="20" w:line="240" w:lineRule="auto"/>
              <w:jc w:val="left"/>
            </w:pPr>
            <w:r>
              <w:rPr>
                <w:rFonts w:ascii="Aptos" w:hAnsi="Aptos"/>
                <w:b w:val="0"/>
                <w:i w:val="0"/>
                <w:color w:val="000000"/>
                <w:sz w:val="17"/>
              </w:rPr>
            </w:r>
            <w:r>
              <w:rPr>
                <w:rFonts w:ascii="Aptos" w:hAnsi="Aptos"/>
                <w:b w:val="0"/>
                <w:i w:val="0"/>
                <w:color w:val="000000"/>
                <w:sz w:val="17"/>
              </w:rPr>
              <w:t>Vispārējais tehniskais stāvoklis</w:t>
            </w:r>
          </w:p>
        </w:tc>
        <w:tc>
          <w:tcPr>
            <w:tcW w:type="dxa" w:w="6066"/>
            <w:shd w:fill="F4F8FC"/>
            <w:vAlign w:val="top"/>
            <w:tcMar>
              <w:top w:w="100" w:type="dxa"/>
              <w:start w:w="120" w:type="dxa"/>
              <w:bottom w:w="100" w:type="dxa"/>
              <w:end w:w="120" w:type="dxa"/>
            </w:tcMar>
          </w:tcPr>
          <w:p>
            <w:pPr>
              <w:spacing w:after="20" w:line="240" w:lineRule="auto"/>
            </w:pPr>
            <w:r>
              <w:rPr>
                <w:rFonts w:ascii="Aptos" w:hAnsi="Aptos"/>
                <w:b w:val="0"/>
                <w:i w:val="0"/>
                <w:color w:val="000000"/>
                <w:sz w:val="17"/>
              </w:rPr>
            </w:r>
            <w:r>
              <w:rPr>
                <w:rFonts w:ascii="Aptos" w:hAnsi="Aptos"/>
                <w:b w:val="0"/>
                <w:i w:val="0"/>
                <w:color w:val="000000"/>
                <w:sz w:val="17"/>
              </w:rPr>
              <w:t>Noteikt ēkas vispārējo tehnisko stāvokli un fizisko nolietojumu.</w:t>
            </w:r>
          </w:p>
        </w:tc>
      </w:tr>
      <w:tr>
        <w:trPr>
          <w:cantSplit/>
        </w:trPr>
        <w:tc>
          <w:tcPr>
            <w:tcW w:type="dxa" w:w="567"/>
            <w:vAlign w:val="top"/>
            <w:tcMar>
              <w:top w:w="100" w:type="dxa"/>
              <w:start w:w="120" w:type="dxa"/>
              <w:bottom w:w="100" w:type="dxa"/>
              <w:end w:w="120" w:type="dxa"/>
            </w:tcMar>
          </w:tcPr>
          <w:p>
            <w:pPr>
              <w:spacing w:after="20" w:line="240" w:lineRule="auto"/>
              <w:jc w:val="center"/>
            </w:pPr>
            <w:r>
              <w:rPr>
                <w:rFonts w:ascii="Aptos" w:hAnsi="Aptos"/>
                <w:b w:val="0"/>
                <w:i w:val="0"/>
                <w:color w:val="000000"/>
                <w:sz w:val="17"/>
              </w:rPr>
            </w:r>
            <w:r>
              <w:rPr>
                <w:rFonts w:ascii="Aptos" w:hAnsi="Aptos"/>
                <w:b w:val="0"/>
                <w:i w:val="0"/>
                <w:color w:val="000000"/>
                <w:sz w:val="17"/>
              </w:rPr>
              <w:t>5.2.</w:t>
            </w:r>
          </w:p>
        </w:tc>
        <w:tc>
          <w:tcPr>
            <w:tcW w:type="dxa" w:w="2438"/>
            <w:vAlign w:val="top"/>
            <w:tcMar>
              <w:top w:w="100" w:type="dxa"/>
              <w:start w:w="120" w:type="dxa"/>
              <w:bottom w:w="100" w:type="dxa"/>
              <w:end w:w="120" w:type="dxa"/>
            </w:tcMar>
          </w:tcPr>
          <w:p>
            <w:pPr>
              <w:spacing w:after="20" w:line="240" w:lineRule="auto"/>
              <w:jc w:val="left"/>
            </w:pPr>
            <w:r>
              <w:rPr>
                <w:rFonts w:ascii="Aptos" w:hAnsi="Aptos"/>
                <w:b w:val="0"/>
                <w:i w:val="0"/>
                <w:color w:val="000000"/>
                <w:sz w:val="17"/>
              </w:rPr>
            </w:r>
            <w:r>
              <w:rPr>
                <w:rFonts w:ascii="Aptos" w:hAnsi="Aptos"/>
                <w:b w:val="0"/>
                <w:i w:val="0"/>
                <w:color w:val="000000"/>
                <w:sz w:val="17"/>
              </w:rPr>
              <w:t>Pamati un nesošās konstrukcijas</w:t>
            </w:r>
          </w:p>
        </w:tc>
        <w:tc>
          <w:tcPr>
            <w:tcW w:type="dxa" w:w="6066"/>
            <w:vAlign w:val="top"/>
            <w:tcMar>
              <w:top w:w="100" w:type="dxa"/>
              <w:start w:w="120" w:type="dxa"/>
              <w:bottom w:w="100" w:type="dxa"/>
              <w:end w:w="120" w:type="dxa"/>
            </w:tcMar>
          </w:tcPr>
          <w:p>
            <w:pPr>
              <w:spacing w:after="20" w:line="240" w:lineRule="auto"/>
            </w:pPr>
            <w:r>
              <w:rPr>
                <w:rFonts w:ascii="Aptos" w:hAnsi="Aptos"/>
                <w:b w:val="0"/>
                <w:i w:val="0"/>
                <w:color w:val="000000"/>
                <w:sz w:val="17"/>
              </w:rPr>
            </w:r>
            <w:r>
              <w:rPr>
                <w:rFonts w:ascii="Aptos" w:hAnsi="Aptos"/>
                <w:b w:val="0"/>
                <w:i w:val="0"/>
                <w:color w:val="000000"/>
                <w:sz w:val="17"/>
              </w:rPr>
              <w:t>Novērtēt pamatu, cokola, nesošo sienu, starpsienu, kolonnu, siju, starpstāvu un bēniņu pārsegumu tehnisko stāvokli, nolietojumu, plaisas, deformācijas un citus bojājumus.</w:t>
            </w:r>
          </w:p>
        </w:tc>
      </w:tr>
      <w:tr>
        <w:trPr>
          <w:cantSplit/>
        </w:trPr>
        <w:tc>
          <w:tcPr>
            <w:tcW w:type="dxa" w:w="567"/>
            <w:shd w:fill="F4F8FC"/>
            <w:vAlign w:val="top"/>
            <w:tcMar>
              <w:top w:w="100" w:type="dxa"/>
              <w:start w:w="120" w:type="dxa"/>
              <w:bottom w:w="100" w:type="dxa"/>
              <w:end w:w="120" w:type="dxa"/>
            </w:tcMar>
          </w:tcPr>
          <w:p>
            <w:pPr>
              <w:spacing w:after="20" w:line="240" w:lineRule="auto"/>
              <w:jc w:val="center"/>
            </w:pPr>
            <w:r>
              <w:rPr>
                <w:rFonts w:ascii="Aptos" w:hAnsi="Aptos"/>
                <w:b w:val="0"/>
                <w:i w:val="0"/>
                <w:color w:val="000000"/>
                <w:sz w:val="17"/>
              </w:rPr>
            </w:r>
            <w:r>
              <w:rPr>
                <w:rFonts w:ascii="Aptos" w:hAnsi="Aptos"/>
                <w:b w:val="0"/>
                <w:i w:val="0"/>
                <w:color w:val="000000"/>
                <w:sz w:val="17"/>
              </w:rPr>
              <w:t>5.3.</w:t>
            </w:r>
          </w:p>
        </w:tc>
        <w:tc>
          <w:tcPr>
            <w:tcW w:type="dxa" w:w="2438"/>
            <w:shd w:fill="F4F8FC"/>
            <w:vAlign w:val="top"/>
            <w:tcMar>
              <w:top w:w="100" w:type="dxa"/>
              <w:start w:w="120" w:type="dxa"/>
              <w:bottom w:w="100" w:type="dxa"/>
              <w:end w:w="120" w:type="dxa"/>
            </w:tcMar>
          </w:tcPr>
          <w:p>
            <w:pPr>
              <w:spacing w:after="20" w:line="240" w:lineRule="auto"/>
              <w:jc w:val="left"/>
            </w:pPr>
            <w:r>
              <w:rPr>
                <w:rFonts w:ascii="Aptos" w:hAnsi="Aptos"/>
                <w:b w:val="0"/>
                <w:i w:val="0"/>
                <w:color w:val="000000"/>
                <w:sz w:val="17"/>
              </w:rPr>
            </w:r>
            <w:r>
              <w:rPr>
                <w:rFonts w:ascii="Aptos" w:hAnsi="Aptos"/>
                <w:b w:val="0"/>
                <w:i w:val="0"/>
                <w:color w:val="000000"/>
                <w:sz w:val="17"/>
              </w:rPr>
              <w:t>Jumts fasādes un citi elementi</w:t>
            </w:r>
          </w:p>
        </w:tc>
        <w:tc>
          <w:tcPr>
            <w:tcW w:type="dxa" w:w="6066"/>
            <w:shd w:fill="F4F8FC"/>
            <w:vAlign w:val="top"/>
            <w:tcMar>
              <w:top w:w="100" w:type="dxa"/>
              <w:start w:w="120" w:type="dxa"/>
              <w:bottom w:w="100" w:type="dxa"/>
              <w:end w:w="120" w:type="dxa"/>
            </w:tcMar>
          </w:tcPr>
          <w:p>
            <w:pPr>
              <w:spacing w:after="20" w:line="240" w:lineRule="auto"/>
            </w:pPr>
            <w:r>
              <w:rPr>
                <w:rFonts w:ascii="Aptos" w:hAnsi="Aptos"/>
                <w:b w:val="0"/>
                <w:i w:val="0"/>
                <w:color w:val="000000"/>
                <w:sz w:val="17"/>
              </w:rPr>
            </w:r>
            <w:r>
              <w:rPr>
                <w:rFonts w:ascii="Aptos" w:hAnsi="Aptos"/>
                <w:b w:val="0"/>
                <w:i w:val="0"/>
                <w:color w:val="000000"/>
                <w:sz w:val="17"/>
              </w:rPr>
              <w:t>Novērtēt jumta nesošās konstrukcijas, jumta segumu, lietusūdens novadīšanu, dūmvadus, fasādes, kāpnes, ieejas mezglus, logus, durvis un citus konstruktīvos elementus.</w:t>
            </w:r>
          </w:p>
        </w:tc>
      </w:tr>
      <w:tr>
        <w:trPr>
          <w:cantSplit/>
        </w:trPr>
        <w:tc>
          <w:tcPr>
            <w:tcW w:type="dxa" w:w="567"/>
            <w:vAlign w:val="top"/>
            <w:tcMar>
              <w:top w:w="100" w:type="dxa"/>
              <w:start w:w="120" w:type="dxa"/>
              <w:bottom w:w="100" w:type="dxa"/>
              <w:end w:w="120" w:type="dxa"/>
            </w:tcMar>
          </w:tcPr>
          <w:p>
            <w:pPr>
              <w:spacing w:after="20" w:line="240" w:lineRule="auto"/>
              <w:jc w:val="center"/>
            </w:pPr>
            <w:r>
              <w:rPr>
                <w:rFonts w:ascii="Aptos" w:hAnsi="Aptos"/>
                <w:b w:val="0"/>
                <w:i w:val="0"/>
                <w:color w:val="000000"/>
                <w:sz w:val="17"/>
              </w:rPr>
            </w:r>
            <w:r>
              <w:rPr>
                <w:rFonts w:ascii="Aptos" w:hAnsi="Aptos"/>
                <w:b w:val="0"/>
                <w:i w:val="0"/>
                <w:color w:val="000000"/>
                <w:sz w:val="17"/>
              </w:rPr>
              <w:t>5.4.</w:t>
            </w:r>
          </w:p>
        </w:tc>
        <w:tc>
          <w:tcPr>
            <w:tcW w:type="dxa" w:w="2438"/>
            <w:vAlign w:val="top"/>
            <w:tcMar>
              <w:top w:w="100" w:type="dxa"/>
              <w:start w:w="120" w:type="dxa"/>
              <w:bottom w:w="100" w:type="dxa"/>
              <w:end w:w="120" w:type="dxa"/>
            </w:tcMar>
          </w:tcPr>
          <w:p>
            <w:pPr>
              <w:spacing w:after="20" w:line="240" w:lineRule="auto"/>
              <w:jc w:val="left"/>
            </w:pPr>
            <w:r>
              <w:rPr>
                <w:rFonts w:ascii="Aptos" w:hAnsi="Aptos"/>
                <w:b w:val="0"/>
                <w:i w:val="0"/>
                <w:color w:val="000000"/>
                <w:sz w:val="17"/>
              </w:rPr>
            </w:r>
            <w:r>
              <w:rPr>
                <w:rFonts w:ascii="Aptos" w:hAnsi="Aptos"/>
                <w:b w:val="0"/>
                <w:i w:val="0"/>
                <w:color w:val="000000"/>
                <w:sz w:val="17"/>
              </w:rPr>
              <w:t>Norobežojošās konstrukcijas</w:t>
            </w:r>
          </w:p>
        </w:tc>
        <w:tc>
          <w:tcPr>
            <w:tcW w:type="dxa" w:w="6066"/>
            <w:vAlign w:val="top"/>
            <w:tcMar>
              <w:top w:w="100" w:type="dxa"/>
              <w:start w:w="120" w:type="dxa"/>
              <w:bottom w:w="100" w:type="dxa"/>
              <w:end w:w="120" w:type="dxa"/>
            </w:tcMar>
          </w:tcPr>
          <w:p>
            <w:pPr>
              <w:spacing w:after="20" w:line="240" w:lineRule="auto"/>
            </w:pPr>
            <w:r>
              <w:rPr>
                <w:rFonts w:ascii="Aptos" w:hAnsi="Aptos"/>
                <w:b w:val="0"/>
                <w:i w:val="0"/>
                <w:color w:val="000000"/>
                <w:sz w:val="17"/>
              </w:rPr>
            </w:r>
            <w:r>
              <w:rPr>
                <w:rFonts w:ascii="Aptos" w:hAnsi="Aptos"/>
                <w:b w:val="0"/>
                <w:i w:val="0"/>
                <w:color w:val="000000"/>
                <w:sz w:val="17"/>
              </w:rPr>
              <w:t>Novērtēt norobežojošo konstrukciju tehnisko stāvokli un siltumtehniskās īpašības, identificējot būtiskākos aukstuma tiltus, siltuma zudumu, kondensāta un mitruma riskus.</w:t>
            </w:r>
          </w:p>
        </w:tc>
      </w:tr>
      <w:tr>
        <w:trPr>
          <w:cantSplit/>
        </w:trPr>
        <w:tc>
          <w:tcPr>
            <w:tcW w:type="dxa" w:w="567"/>
            <w:shd w:fill="F4F8FC"/>
            <w:vAlign w:val="top"/>
            <w:tcMar>
              <w:top w:w="100" w:type="dxa"/>
              <w:start w:w="120" w:type="dxa"/>
              <w:bottom w:w="100" w:type="dxa"/>
              <w:end w:w="120" w:type="dxa"/>
            </w:tcMar>
          </w:tcPr>
          <w:p>
            <w:pPr>
              <w:spacing w:after="20" w:line="240" w:lineRule="auto"/>
              <w:jc w:val="center"/>
            </w:pPr>
            <w:r>
              <w:rPr>
                <w:rFonts w:ascii="Aptos" w:hAnsi="Aptos"/>
                <w:b w:val="0"/>
                <w:i w:val="0"/>
                <w:color w:val="000000"/>
                <w:sz w:val="17"/>
              </w:rPr>
            </w:r>
            <w:r>
              <w:rPr>
                <w:rFonts w:ascii="Aptos" w:hAnsi="Aptos"/>
                <w:b w:val="0"/>
                <w:i w:val="0"/>
                <w:color w:val="000000"/>
                <w:sz w:val="17"/>
              </w:rPr>
              <w:t>5.5.</w:t>
            </w:r>
          </w:p>
        </w:tc>
        <w:tc>
          <w:tcPr>
            <w:tcW w:type="dxa" w:w="2438"/>
            <w:shd w:fill="F4F8FC"/>
            <w:vAlign w:val="top"/>
            <w:tcMar>
              <w:top w:w="100" w:type="dxa"/>
              <w:start w:w="120" w:type="dxa"/>
              <w:bottom w:w="100" w:type="dxa"/>
              <w:end w:w="120" w:type="dxa"/>
            </w:tcMar>
          </w:tcPr>
          <w:p>
            <w:pPr>
              <w:spacing w:after="20" w:line="240" w:lineRule="auto"/>
              <w:jc w:val="left"/>
            </w:pPr>
            <w:r>
              <w:rPr>
                <w:rFonts w:ascii="Aptos" w:hAnsi="Aptos"/>
                <w:b w:val="0"/>
                <w:i w:val="0"/>
                <w:color w:val="000000"/>
                <w:sz w:val="17"/>
              </w:rPr>
            </w:r>
            <w:r>
              <w:rPr>
                <w:rFonts w:ascii="Aptos" w:hAnsi="Aptos"/>
                <w:b w:val="0"/>
                <w:i w:val="0"/>
                <w:color w:val="000000"/>
                <w:sz w:val="17"/>
              </w:rPr>
              <w:t>Iekšējie inženiertīkli</w:t>
            </w:r>
          </w:p>
        </w:tc>
        <w:tc>
          <w:tcPr>
            <w:tcW w:type="dxa" w:w="6066"/>
            <w:shd w:fill="F4F8FC"/>
            <w:vAlign w:val="top"/>
            <w:tcMar>
              <w:top w:w="100" w:type="dxa"/>
              <w:start w:w="120" w:type="dxa"/>
              <w:bottom w:w="100" w:type="dxa"/>
              <w:end w:w="120" w:type="dxa"/>
            </w:tcMar>
          </w:tcPr>
          <w:p>
            <w:pPr>
              <w:spacing w:after="20" w:line="240" w:lineRule="auto"/>
            </w:pPr>
            <w:r>
              <w:rPr>
                <w:rFonts w:ascii="Aptos" w:hAnsi="Aptos"/>
                <w:b w:val="0"/>
                <w:i w:val="0"/>
                <w:color w:val="000000"/>
                <w:sz w:val="17"/>
              </w:rPr>
            </w:r>
            <w:r>
              <w:rPr>
                <w:rFonts w:ascii="Aptos" w:hAnsi="Aptos"/>
                <w:b w:val="0"/>
                <w:i w:val="0"/>
                <w:color w:val="000000"/>
                <w:sz w:val="17"/>
              </w:rPr>
              <w:t>Novērtēt ēkas koplietošanas iekšējo inženiertīklu un sistēmu - ūdensapgādes, kanalizācijas, apkures, ventilācijas un elektroapgādes - redzamo un pieejamo daļu tehnisko stāvokli un nolietojumu.</w:t>
            </w:r>
          </w:p>
        </w:tc>
      </w:tr>
      <w:tr>
        <w:trPr>
          <w:cantSplit/>
        </w:trPr>
        <w:tc>
          <w:tcPr>
            <w:tcW w:type="dxa" w:w="567"/>
            <w:vAlign w:val="top"/>
            <w:tcMar>
              <w:top w:w="100" w:type="dxa"/>
              <w:start w:w="120" w:type="dxa"/>
              <w:bottom w:w="100" w:type="dxa"/>
              <w:end w:w="120" w:type="dxa"/>
            </w:tcMar>
          </w:tcPr>
          <w:p>
            <w:pPr>
              <w:spacing w:after="20" w:line="240" w:lineRule="auto"/>
              <w:jc w:val="center"/>
            </w:pPr>
            <w:r>
              <w:rPr>
                <w:rFonts w:ascii="Aptos" w:hAnsi="Aptos"/>
                <w:b w:val="0"/>
                <w:i w:val="0"/>
                <w:color w:val="000000"/>
                <w:sz w:val="17"/>
              </w:rPr>
            </w:r>
            <w:r>
              <w:rPr>
                <w:rFonts w:ascii="Aptos" w:hAnsi="Aptos"/>
                <w:b w:val="0"/>
                <w:i w:val="0"/>
                <w:color w:val="000000"/>
                <w:sz w:val="17"/>
              </w:rPr>
              <w:t>5.6.</w:t>
            </w:r>
          </w:p>
        </w:tc>
        <w:tc>
          <w:tcPr>
            <w:tcW w:type="dxa" w:w="2438"/>
            <w:vAlign w:val="top"/>
            <w:tcMar>
              <w:top w:w="100" w:type="dxa"/>
              <w:start w:w="120" w:type="dxa"/>
              <w:bottom w:w="100" w:type="dxa"/>
              <w:end w:w="120" w:type="dxa"/>
            </w:tcMar>
          </w:tcPr>
          <w:p>
            <w:pPr>
              <w:spacing w:after="20" w:line="240" w:lineRule="auto"/>
              <w:jc w:val="left"/>
            </w:pPr>
            <w:r>
              <w:rPr>
                <w:rFonts w:ascii="Aptos" w:hAnsi="Aptos"/>
                <w:b w:val="0"/>
                <w:i w:val="0"/>
                <w:color w:val="000000"/>
                <w:sz w:val="17"/>
              </w:rPr>
            </w:r>
            <w:r>
              <w:rPr>
                <w:rFonts w:ascii="Aptos" w:hAnsi="Aptos"/>
                <w:b w:val="0"/>
                <w:i w:val="0"/>
                <w:color w:val="000000"/>
                <w:sz w:val="17"/>
              </w:rPr>
              <w:t>Ārējie inženiertīkli un pievadi</w:t>
            </w:r>
          </w:p>
        </w:tc>
        <w:tc>
          <w:tcPr>
            <w:tcW w:type="dxa" w:w="6066"/>
            <w:vAlign w:val="top"/>
            <w:tcMar>
              <w:top w:w="100" w:type="dxa"/>
              <w:start w:w="120" w:type="dxa"/>
              <w:bottom w:w="100" w:type="dxa"/>
              <w:end w:w="120" w:type="dxa"/>
            </w:tcMar>
          </w:tcPr>
          <w:p>
            <w:pPr>
              <w:spacing w:after="20" w:line="240" w:lineRule="auto"/>
            </w:pPr>
            <w:r>
              <w:rPr>
                <w:rFonts w:ascii="Aptos" w:hAnsi="Aptos"/>
                <w:b w:val="0"/>
                <w:i w:val="0"/>
                <w:color w:val="000000"/>
                <w:sz w:val="17"/>
              </w:rPr>
            </w:r>
            <w:r>
              <w:rPr>
                <w:rFonts w:ascii="Aptos" w:hAnsi="Aptos"/>
                <w:b w:val="0"/>
                <w:i w:val="0"/>
                <w:color w:val="000000"/>
                <w:sz w:val="17"/>
              </w:rPr>
              <w:t>Vizuāli novērtēt ar ēku saistīto ārējo inženiertīklu un pievadu redzamās un pieejamās daļas. Atzinumā skaidri norādīt apsekojuma robežas un nepieciešamību pēc atsevišķas specializētas izpētes, ja tāda konstatēta.</w:t>
            </w:r>
          </w:p>
        </w:tc>
      </w:tr>
      <w:tr>
        <w:trPr>
          <w:cantSplit/>
        </w:trPr>
        <w:tc>
          <w:tcPr>
            <w:tcW w:type="dxa" w:w="567"/>
            <w:shd w:fill="F4F8FC"/>
            <w:vAlign w:val="top"/>
            <w:tcMar>
              <w:top w:w="100" w:type="dxa"/>
              <w:start w:w="120" w:type="dxa"/>
              <w:bottom w:w="100" w:type="dxa"/>
              <w:end w:w="120" w:type="dxa"/>
            </w:tcMar>
          </w:tcPr>
          <w:p>
            <w:pPr>
              <w:spacing w:after="20" w:line="240" w:lineRule="auto"/>
              <w:jc w:val="center"/>
            </w:pPr>
            <w:r>
              <w:rPr>
                <w:rFonts w:ascii="Aptos" w:hAnsi="Aptos"/>
                <w:b w:val="0"/>
                <w:i w:val="0"/>
                <w:color w:val="000000"/>
                <w:sz w:val="17"/>
              </w:rPr>
            </w:r>
            <w:r>
              <w:rPr>
                <w:rFonts w:ascii="Aptos" w:hAnsi="Aptos"/>
                <w:b w:val="0"/>
                <w:i w:val="0"/>
                <w:color w:val="000000"/>
                <w:sz w:val="17"/>
              </w:rPr>
              <w:t>5.7.</w:t>
            </w:r>
          </w:p>
        </w:tc>
        <w:tc>
          <w:tcPr>
            <w:tcW w:type="dxa" w:w="2438"/>
            <w:shd w:fill="F4F8FC"/>
            <w:vAlign w:val="top"/>
            <w:tcMar>
              <w:top w:w="100" w:type="dxa"/>
              <w:start w:w="120" w:type="dxa"/>
              <w:bottom w:w="100" w:type="dxa"/>
              <w:end w:w="120" w:type="dxa"/>
            </w:tcMar>
          </w:tcPr>
          <w:p>
            <w:pPr>
              <w:spacing w:after="20" w:line="240" w:lineRule="auto"/>
              <w:jc w:val="left"/>
            </w:pPr>
            <w:r>
              <w:rPr>
                <w:rFonts w:ascii="Aptos" w:hAnsi="Aptos"/>
                <w:b w:val="0"/>
                <w:i w:val="0"/>
                <w:color w:val="000000"/>
                <w:sz w:val="17"/>
              </w:rPr>
            </w:r>
            <w:r>
              <w:rPr>
                <w:rFonts w:ascii="Aptos" w:hAnsi="Aptos"/>
                <w:b w:val="0"/>
                <w:i w:val="0"/>
                <w:color w:val="000000"/>
                <w:sz w:val="17"/>
              </w:rPr>
              <w:t>Drošība un pieejamība</w:t>
            </w:r>
          </w:p>
        </w:tc>
        <w:tc>
          <w:tcPr>
            <w:tcW w:type="dxa" w:w="6066"/>
            <w:shd w:fill="F4F8FC"/>
            <w:vAlign w:val="top"/>
            <w:tcMar>
              <w:top w:w="100" w:type="dxa"/>
              <w:start w:w="120" w:type="dxa"/>
              <w:bottom w:w="100" w:type="dxa"/>
              <w:end w:w="120" w:type="dxa"/>
            </w:tcMar>
          </w:tcPr>
          <w:p>
            <w:pPr>
              <w:spacing w:after="20" w:line="240" w:lineRule="auto"/>
            </w:pPr>
            <w:r>
              <w:rPr>
                <w:rFonts w:ascii="Aptos" w:hAnsi="Aptos"/>
                <w:b w:val="0"/>
                <w:i w:val="0"/>
                <w:color w:val="000000"/>
                <w:sz w:val="17"/>
              </w:rPr>
            </w:r>
            <w:r>
              <w:rPr>
                <w:rFonts w:ascii="Aptos" w:hAnsi="Aptos"/>
                <w:b w:val="0"/>
                <w:i w:val="0"/>
                <w:color w:val="000000"/>
                <w:sz w:val="17"/>
              </w:rPr>
              <w:t>Izvērtēt ar ugunsdrošību, lietošanas drošību un vides pieejamību saistīto ēkas elementu faktisko stāvokli apsekošanas uzdevuma un būvspeciālistu kompetences robežās.</w:t>
            </w:r>
          </w:p>
        </w:tc>
      </w:tr>
      <w:tr>
        <w:trPr>
          <w:cantSplit/>
        </w:trPr>
        <w:tc>
          <w:tcPr>
            <w:tcW w:type="dxa" w:w="567"/>
            <w:vAlign w:val="top"/>
            <w:tcMar>
              <w:top w:w="100" w:type="dxa"/>
              <w:start w:w="120" w:type="dxa"/>
              <w:bottom w:w="100" w:type="dxa"/>
              <w:end w:w="120" w:type="dxa"/>
            </w:tcMar>
          </w:tcPr>
          <w:p>
            <w:pPr>
              <w:spacing w:after="20" w:line="240" w:lineRule="auto"/>
              <w:jc w:val="center"/>
            </w:pPr>
            <w:r>
              <w:rPr>
                <w:rFonts w:ascii="Aptos" w:hAnsi="Aptos"/>
                <w:b w:val="0"/>
                <w:i w:val="0"/>
                <w:color w:val="000000"/>
                <w:sz w:val="17"/>
              </w:rPr>
            </w:r>
            <w:r>
              <w:rPr>
                <w:rFonts w:ascii="Aptos" w:hAnsi="Aptos"/>
                <w:b w:val="0"/>
                <w:i w:val="0"/>
                <w:color w:val="000000"/>
                <w:sz w:val="17"/>
              </w:rPr>
              <w:t>5.8.</w:t>
            </w:r>
          </w:p>
        </w:tc>
        <w:tc>
          <w:tcPr>
            <w:tcW w:type="dxa" w:w="2438"/>
            <w:vAlign w:val="top"/>
            <w:tcMar>
              <w:top w:w="100" w:type="dxa"/>
              <w:start w:w="120" w:type="dxa"/>
              <w:bottom w:w="100" w:type="dxa"/>
              <w:end w:w="120" w:type="dxa"/>
            </w:tcMar>
          </w:tcPr>
          <w:p>
            <w:pPr>
              <w:spacing w:after="20" w:line="240" w:lineRule="auto"/>
              <w:jc w:val="left"/>
            </w:pPr>
            <w:r>
              <w:rPr>
                <w:rFonts w:ascii="Aptos" w:hAnsi="Aptos"/>
                <w:b w:val="0"/>
                <w:i w:val="0"/>
                <w:color w:val="000000"/>
                <w:sz w:val="17"/>
              </w:rPr>
            </w:r>
            <w:r>
              <w:rPr>
                <w:rFonts w:ascii="Aptos" w:hAnsi="Aptos"/>
                <w:b w:val="0"/>
                <w:i w:val="0"/>
                <w:color w:val="000000"/>
                <w:sz w:val="17"/>
              </w:rPr>
              <w:t>Fotofiksācija</w:t>
            </w:r>
          </w:p>
        </w:tc>
        <w:tc>
          <w:tcPr>
            <w:tcW w:type="dxa" w:w="6066"/>
            <w:vAlign w:val="top"/>
            <w:tcMar>
              <w:top w:w="100" w:type="dxa"/>
              <w:start w:w="120" w:type="dxa"/>
              <w:bottom w:w="100" w:type="dxa"/>
              <w:end w:w="120" w:type="dxa"/>
            </w:tcMar>
          </w:tcPr>
          <w:p>
            <w:pPr>
              <w:spacing w:after="20" w:line="240" w:lineRule="auto"/>
            </w:pPr>
            <w:r>
              <w:rPr>
                <w:rFonts w:ascii="Aptos" w:hAnsi="Aptos"/>
                <w:b w:val="0"/>
                <w:i w:val="0"/>
                <w:color w:val="000000"/>
                <w:sz w:val="17"/>
              </w:rPr>
            </w:r>
            <w:r>
              <w:rPr>
                <w:rFonts w:ascii="Aptos" w:hAnsi="Aptos"/>
                <w:b w:val="0"/>
                <w:i w:val="0"/>
                <w:color w:val="000000"/>
                <w:sz w:val="17"/>
              </w:rPr>
              <w:t>Fiksēt konstatētos bojājumus fotogrāfijās, norādot to atrašanās vietu, raksturu, apmēru un iespējamos cēloņus.</w:t>
            </w:r>
          </w:p>
        </w:tc>
      </w:tr>
      <w:tr>
        <w:trPr>
          <w:cantSplit/>
        </w:trPr>
        <w:tc>
          <w:tcPr>
            <w:tcW w:type="dxa" w:w="567"/>
            <w:shd w:fill="F4F8FC"/>
            <w:vAlign w:val="top"/>
            <w:tcMar>
              <w:top w:w="100" w:type="dxa"/>
              <w:start w:w="120" w:type="dxa"/>
              <w:bottom w:w="100" w:type="dxa"/>
              <w:end w:w="120" w:type="dxa"/>
            </w:tcMar>
          </w:tcPr>
          <w:p>
            <w:pPr>
              <w:spacing w:after="20" w:line="240" w:lineRule="auto"/>
              <w:jc w:val="center"/>
            </w:pPr>
            <w:r>
              <w:rPr>
                <w:rFonts w:ascii="Aptos" w:hAnsi="Aptos"/>
                <w:b w:val="0"/>
                <w:i w:val="0"/>
                <w:color w:val="000000"/>
                <w:sz w:val="17"/>
              </w:rPr>
            </w:r>
            <w:r>
              <w:rPr>
                <w:rFonts w:ascii="Aptos" w:hAnsi="Aptos"/>
                <w:b w:val="0"/>
                <w:i w:val="0"/>
                <w:color w:val="000000"/>
                <w:sz w:val="17"/>
              </w:rPr>
              <w:t>5.9.</w:t>
            </w:r>
          </w:p>
        </w:tc>
        <w:tc>
          <w:tcPr>
            <w:tcW w:type="dxa" w:w="2438"/>
            <w:shd w:fill="F4F8FC"/>
            <w:vAlign w:val="top"/>
            <w:tcMar>
              <w:top w:w="100" w:type="dxa"/>
              <w:start w:w="120" w:type="dxa"/>
              <w:bottom w:w="100" w:type="dxa"/>
              <w:end w:w="120" w:type="dxa"/>
            </w:tcMar>
          </w:tcPr>
          <w:p>
            <w:pPr>
              <w:spacing w:after="20" w:line="240" w:lineRule="auto"/>
              <w:jc w:val="left"/>
            </w:pPr>
            <w:r>
              <w:rPr>
                <w:rFonts w:ascii="Aptos" w:hAnsi="Aptos"/>
                <w:b w:val="0"/>
                <w:i w:val="0"/>
                <w:color w:val="000000"/>
                <w:sz w:val="17"/>
              </w:rPr>
            </w:r>
            <w:r>
              <w:rPr>
                <w:rFonts w:ascii="Aptos" w:hAnsi="Aptos"/>
                <w:b w:val="0"/>
                <w:i w:val="0"/>
                <w:color w:val="000000"/>
                <w:sz w:val="17"/>
              </w:rPr>
              <w:t>Mērījumi un izpētes darbi</w:t>
            </w:r>
          </w:p>
        </w:tc>
        <w:tc>
          <w:tcPr>
            <w:tcW w:type="dxa" w:w="6066"/>
            <w:shd w:fill="F4F8FC"/>
            <w:vAlign w:val="top"/>
            <w:tcMar>
              <w:top w:w="100" w:type="dxa"/>
              <w:start w:w="120" w:type="dxa"/>
              <w:bottom w:w="100" w:type="dxa"/>
              <w:end w:w="120" w:type="dxa"/>
            </w:tcMar>
          </w:tcPr>
          <w:p>
            <w:pPr>
              <w:spacing w:after="20" w:line="240" w:lineRule="auto"/>
            </w:pPr>
            <w:r>
              <w:rPr>
                <w:rFonts w:ascii="Aptos" w:hAnsi="Aptos"/>
                <w:b w:val="0"/>
                <w:i w:val="0"/>
                <w:color w:val="000000"/>
                <w:sz w:val="17"/>
              </w:rPr>
            </w:r>
            <w:r>
              <w:rPr>
                <w:rFonts w:ascii="Aptos" w:hAnsi="Aptos"/>
                <w:b w:val="0"/>
                <w:i w:val="0"/>
                <w:color w:val="000000"/>
                <w:sz w:val="17"/>
              </w:rPr>
              <w:t>Nepieciešamības gadījumā veikt uzmērījumus, kontrolmērījumus, konstrukciju atsegumus un citus izpētes darbus. Destruktīvus darbus iepriekš saskaņot ar Pasūtītāju.</w:t>
            </w:r>
          </w:p>
        </w:tc>
      </w:tr>
      <w:tr>
        <w:trPr>
          <w:cantSplit/>
        </w:trPr>
        <w:tc>
          <w:tcPr>
            <w:tcW w:type="dxa" w:w="567"/>
            <w:vAlign w:val="top"/>
            <w:tcMar>
              <w:top w:w="100" w:type="dxa"/>
              <w:start w:w="120" w:type="dxa"/>
              <w:bottom w:w="100" w:type="dxa"/>
              <w:end w:w="120" w:type="dxa"/>
            </w:tcMar>
          </w:tcPr>
          <w:p>
            <w:pPr>
              <w:spacing w:after="20" w:line="240" w:lineRule="auto"/>
              <w:jc w:val="center"/>
            </w:pPr>
            <w:r>
              <w:rPr>
                <w:rFonts w:ascii="Aptos" w:hAnsi="Aptos"/>
                <w:b w:val="0"/>
                <w:i w:val="0"/>
                <w:color w:val="000000"/>
                <w:sz w:val="17"/>
              </w:rPr>
            </w:r>
            <w:r>
              <w:rPr>
                <w:rFonts w:ascii="Aptos" w:hAnsi="Aptos"/>
                <w:b w:val="0"/>
                <w:i w:val="0"/>
                <w:color w:val="000000"/>
                <w:sz w:val="17"/>
              </w:rPr>
              <w:t>5.10.</w:t>
            </w:r>
          </w:p>
        </w:tc>
        <w:tc>
          <w:tcPr>
            <w:tcW w:type="dxa" w:w="2438"/>
            <w:vAlign w:val="top"/>
            <w:tcMar>
              <w:top w:w="100" w:type="dxa"/>
              <w:start w:w="120" w:type="dxa"/>
              <w:bottom w:w="100" w:type="dxa"/>
              <w:end w:w="120" w:type="dxa"/>
            </w:tcMar>
          </w:tcPr>
          <w:p>
            <w:pPr>
              <w:spacing w:after="20" w:line="240" w:lineRule="auto"/>
              <w:jc w:val="left"/>
            </w:pPr>
            <w:r>
              <w:rPr>
                <w:rFonts w:ascii="Aptos" w:hAnsi="Aptos"/>
                <w:b w:val="0"/>
                <w:i w:val="0"/>
                <w:color w:val="000000"/>
                <w:sz w:val="17"/>
              </w:rPr>
            </w:r>
            <w:r>
              <w:rPr>
                <w:rFonts w:ascii="Aptos" w:hAnsi="Aptos"/>
                <w:b w:val="0"/>
                <w:i w:val="0"/>
                <w:color w:val="000000"/>
                <w:sz w:val="17"/>
              </w:rPr>
              <w:t>Grafiskie materiāli</w:t>
            </w:r>
          </w:p>
        </w:tc>
        <w:tc>
          <w:tcPr>
            <w:tcW w:type="dxa" w:w="6066"/>
            <w:vAlign w:val="top"/>
            <w:tcMar>
              <w:top w:w="100" w:type="dxa"/>
              <w:start w:w="120" w:type="dxa"/>
              <w:bottom w:w="100" w:type="dxa"/>
              <w:end w:w="120" w:type="dxa"/>
            </w:tcMar>
          </w:tcPr>
          <w:p>
            <w:pPr>
              <w:spacing w:after="20" w:line="240" w:lineRule="auto"/>
            </w:pPr>
            <w:r>
              <w:rPr>
                <w:rFonts w:ascii="Aptos" w:hAnsi="Aptos"/>
                <w:b w:val="0"/>
                <w:i w:val="0"/>
                <w:color w:val="000000"/>
                <w:sz w:val="17"/>
              </w:rPr>
            </w:r>
            <w:r>
              <w:rPr>
                <w:rFonts w:ascii="Aptos" w:hAnsi="Aptos"/>
                <w:b w:val="0"/>
                <w:i w:val="0"/>
                <w:color w:val="000000"/>
                <w:sz w:val="17"/>
              </w:rPr>
              <w:t>Sagatavot stāvu plānus, fasāžu shēmas, mezglus vai skices ar norādītām bojājumu, mērījumu un atsegumu vietām.</w:t>
            </w:r>
          </w:p>
        </w:tc>
      </w:tr>
      <w:tr>
        <w:trPr>
          <w:cantSplit/>
        </w:trPr>
        <w:tc>
          <w:tcPr>
            <w:tcW w:type="dxa" w:w="567"/>
            <w:shd w:fill="F4F8FC"/>
            <w:vAlign w:val="top"/>
            <w:tcMar>
              <w:top w:w="100" w:type="dxa"/>
              <w:start w:w="120" w:type="dxa"/>
              <w:bottom w:w="100" w:type="dxa"/>
              <w:end w:w="120" w:type="dxa"/>
            </w:tcMar>
          </w:tcPr>
          <w:p>
            <w:pPr>
              <w:spacing w:after="20" w:line="240" w:lineRule="auto"/>
              <w:jc w:val="center"/>
            </w:pPr>
            <w:r>
              <w:rPr>
                <w:rFonts w:ascii="Aptos" w:hAnsi="Aptos"/>
                <w:b w:val="0"/>
                <w:i w:val="0"/>
                <w:color w:val="000000"/>
                <w:sz w:val="17"/>
              </w:rPr>
            </w:r>
            <w:r>
              <w:rPr>
                <w:rFonts w:ascii="Aptos" w:hAnsi="Aptos"/>
                <w:b w:val="0"/>
                <w:i w:val="0"/>
                <w:color w:val="000000"/>
                <w:sz w:val="17"/>
              </w:rPr>
              <w:t>5.11.</w:t>
            </w:r>
          </w:p>
        </w:tc>
        <w:tc>
          <w:tcPr>
            <w:tcW w:type="dxa" w:w="2438"/>
            <w:shd w:fill="F4F8FC"/>
            <w:vAlign w:val="top"/>
            <w:tcMar>
              <w:top w:w="100" w:type="dxa"/>
              <w:start w:w="120" w:type="dxa"/>
              <w:bottom w:w="100" w:type="dxa"/>
              <w:end w:w="120" w:type="dxa"/>
            </w:tcMar>
          </w:tcPr>
          <w:p>
            <w:pPr>
              <w:spacing w:after="20" w:line="240" w:lineRule="auto"/>
              <w:jc w:val="left"/>
            </w:pPr>
            <w:r>
              <w:rPr>
                <w:rFonts w:ascii="Aptos" w:hAnsi="Aptos"/>
                <w:b w:val="0"/>
                <w:i w:val="0"/>
                <w:color w:val="000000"/>
                <w:sz w:val="17"/>
              </w:rPr>
            </w:r>
            <w:r>
              <w:rPr>
                <w:rFonts w:ascii="Aptos" w:hAnsi="Aptos"/>
                <w:b w:val="0"/>
                <w:i w:val="0"/>
                <w:color w:val="000000"/>
                <w:sz w:val="17"/>
              </w:rPr>
              <w:t>Atzinuma struktūra</w:t>
            </w:r>
          </w:p>
        </w:tc>
        <w:tc>
          <w:tcPr>
            <w:tcW w:type="dxa" w:w="6066"/>
            <w:shd w:fill="F4F8FC"/>
            <w:vAlign w:val="top"/>
            <w:tcMar>
              <w:top w:w="100" w:type="dxa"/>
              <w:start w:w="120" w:type="dxa"/>
              <w:bottom w:w="100" w:type="dxa"/>
              <w:end w:w="120" w:type="dxa"/>
            </w:tcMar>
          </w:tcPr>
          <w:p>
            <w:pPr>
              <w:spacing w:after="20" w:line="240" w:lineRule="auto"/>
            </w:pPr>
            <w:r>
              <w:rPr>
                <w:rFonts w:ascii="Aptos" w:hAnsi="Aptos"/>
                <w:b w:val="0"/>
                <w:i w:val="0"/>
                <w:color w:val="000000"/>
                <w:sz w:val="17"/>
              </w:rPr>
            </w:r>
            <w:r>
              <w:rPr>
                <w:rFonts w:ascii="Aptos" w:hAnsi="Aptos"/>
                <w:b w:val="0"/>
                <w:i w:val="0"/>
                <w:color w:val="000000"/>
                <w:sz w:val="17"/>
              </w:rPr>
              <w:t>Apsekošanas rezultātus apkopot vienotā tehniskās apsekošanas atzinumā, kurā secīgi un pārbaudāmi ietverta turpmāk norādītā informācija.</w:t>
            </w:r>
          </w:p>
        </w:tc>
      </w:tr>
      <w:tr>
        <w:trPr>
          <w:cantSplit/>
        </w:trPr>
        <w:tc>
          <w:tcPr>
            <w:tcW w:type="dxa" w:w="567"/>
            <w:vAlign w:val="top"/>
            <w:tcMar>
              <w:top w:w="100" w:type="dxa"/>
              <w:start w:w="120" w:type="dxa"/>
              <w:bottom w:w="100" w:type="dxa"/>
              <w:end w:w="120" w:type="dxa"/>
            </w:tcMar>
          </w:tcPr>
          <w:p>
            <w:pPr>
              <w:spacing w:after="20" w:line="240" w:lineRule="auto"/>
              <w:jc w:val="center"/>
            </w:pPr>
            <w:r>
              <w:rPr>
                <w:rFonts w:ascii="Aptos" w:hAnsi="Aptos"/>
                <w:b w:val="0"/>
                <w:i w:val="0"/>
                <w:color w:val="000000"/>
                <w:sz w:val="17"/>
              </w:rPr>
            </w:r>
            <w:r>
              <w:rPr>
                <w:rFonts w:ascii="Aptos" w:hAnsi="Aptos"/>
                <w:b w:val="0"/>
                <w:i w:val="0"/>
                <w:color w:val="000000"/>
                <w:sz w:val="17"/>
              </w:rPr>
              <w:t>5.12.</w:t>
            </w:r>
          </w:p>
        </w:tc>
        <w:tc>
          <w:tcPr>
            <w:tcW w:type="dxa" w:w="2438"/>
            <w:vAlign w:val="top"/>
            <w:tcMar>
              <w:top w:w="100" w:type="dxa"/>
              <w:start w:w="120" w:type="dxa"/>
              <w:bottom w:w="100" w:type="dxa"/>
              <w:end w:w="120" w:type="dxa"/>
            </w:tcMar>
          </w:tcPr>
          <w:p>
            <w:pPr>
              <w:spacing w:after="20" w:line="240" w:lineRule="auto"/>
              <w:jc w:val="left"/>
            </w:pPr>
            <w:r>
              <w:rPr>
                <w:rFonts w:ascii="Aptos" w:hAnsi="Aptos"/>
                <w:b w:val="0"/>
                <w:i w:val="0"/>
                <w:color w:val="000000"/>
                <w:sz w:val="17"/>
              </w:rPr>
            </w:r>
            <w:r>
              <w:rPr>
                <w:rFonts w:ascii="Aptos" w:hAnsi="Aptos"/>
                <w:b w:val="0"/>
                <w:i w:val="0"/>
                <w:color w:val="000000"/>
                <w:sz w:val="17"/>
              </w:rPr>
              <w:t>Izejas dati un apsekošanas robežas</w:t>
            </w:r>
          </w:p>
        </w:tc>
        <w:tc>
          <w:tcPr>
            <w:tcW w:type="dxa" w:w="6066"/>
            <w:vAlign w:val="top"/>
            <w:tcMar>
              <w:top w:w="100" w:type="dxa"/>
              <w:start w:w="120" w:type="dxa"/>
              <w:bottom w:w="100" w:type="dxa"/>
              <w:end w:w="120" w:type="dxa"/>
            </w:tcMar>
          </w:tcPr>
          <w:p>
            <w:pPr>
              <w:spacing w:after="20" w:line="240" w:lineRule="auto"/>
            </w:pPr>
            <w:r>
              <w:rPr>
                <w:rFonts w:ascii="Aptos" w:hAnsi="Aptos"/>
                <w:b w:val="0"/>
                <w:i w:val="0"/>
                <w:color w:val="000000"/>
                <w:sz w:val="17"/>
              </w:rPr>
            </w:r>
            <w:r>
              <w:rPr>
                <w:rFonts w:ascii="Aptos" w:hAnsi="Aptos"/>
                <w:b w:val="0"/>
                <w:i w:val="0"/>
                <w:color w:val="000000"/>
                <w:sz w:val="17"/>
              </w:rPr>
              <w:t>Norādīt vispārīgas ziņas par būvi, izmantotos izejas materiālus, apsekošanas apjomu, ierobežojumus un lietotās metodes.</w:t>
            </w:r>
          </w:p>
        </w:tc>
      </w:tr>
      <w:tr>
        <w:trPr>
          <w:cantSplit/>
        </w:trPr>
        <w:tc>
          <w:tcPr>
            <w:tcW w:type="dxa" w:w="567"/>
            <w:shd w:fill="F4F8FC"/>
            <w:vAlign w:val="top"/>
            <w:tcMar>
              <w:top w:w="100" w:type="dxa"/>
              <w:start w:w="120" w:type="dxa"/>
              <w:bottom w:w="100" w:type="dxa"/>
              <w:end w:w="120" w:type="dxa"/>
            </w:tcMar>
          </w:tcPr>
          <w:p>
            <w:pPr>
              <w:spacing w:after="20" w:line="240" w:lineRule="auto"/>
              <w:jc w:val="center"/>
            </w:pPr>
            <w:r>
              <w:rPr>
                <w:rFonts w:ascii="Aptos" w:hAnsi="Aptos"/>
                <w:b w:val="0"/>
                <w:i w:val="0"/>
                <w:color w:val="000000"/>
                <w:sz w:val="17"/>
              </w:rPr>
            </w:r>
            <w:r>
              <w:rPr>
                <w:rFonts w:ascii="Aptos" w:hAnsi="Aptos"/>
                <w:b w:val="0"/>
                <w:i w:val="0"/>
                <w:color w:val="000000"/>
                <w:sz w:val="17"/>
              </w:rPr>
              <w:t>5.13.</w:t>
            </w:r>
          </w:p>
        </w:tc>
        <w:tc>
          <w:tcPr>
            <w:tcW w:type="dxa" w:w="2438"/>
            <w:shd w:fill="F4F8FC"/>
            <w:vAlign w:val="top"/>
            <w:tcMar>
              <w:top w:w="100" w:type="dxa"/>
              <w:start w:w="120" w:type="dxa"/>
              <w:bottom w:w="100" w:type="dxa"/>
              <w:end w:w="120" w:type="dxa"/>
            </w:tcMar>
          </w:tcPr>
          <w:p>
            <w:pPr>
              <w:spacing w:after="20" w:line="240" w:lineRule="auto"/>
              <w:jc w:val="left"/>
            </w:pPr>
            <w:r>
              <w:rPr>
                <w:rFonts w:ascii="Aptos" w:hAnsi="Aptos"/>
                <w:b w:val="0"/>
                <w:i w:val="0"/>
                <w:color w:val="000000"/>
                <w:sz w:val="17"/>
              </w:rPr>
            </w:r>
            <w:r>
              <w:rPr>
                <w:rFonts w:ascii="Aptos" w:hAnsi="Aptos"/>
                <w:b w:val="0"/>
                <w:i w:val="0"/>
                <w:color w:val="000000"/>
                <w:sz w:val="17"/>
              </w:rPr>
              <w:t>Situācija un teritorija</w:t>
            </w:r>
          </w:p>
        </w:tc>
        <w:tc>
          <w:tcPr>
            <w:tcW w:type="dxa" w:w="6066"/>
            <w:shd w:fill="F4F8FC"/>
            <w:vAlign w:val="top"/>
            <w:tcMar>
              <w:top w:w="100" w:type="dxa"/>
              <w:start w:w="120" w:type="dxa"/>
              <w:bottom w:w="100" w:type="dxa"/>
              <w:end w:w="120" w:type="dxa"/>
            </w:tcMar>
          </w:tcPr>
          <w:p>
            <w:pPr>
              <w:spacing w:after="20" w:line="240" w:lineRule="auto"/>
            </w:pPr>
            <w:r>
              <w:rPr>
                <w:rFonts w:ascii="Aptos" w:hAnsi="Aptos"/>
                <w:b w:val="0"/>
                <w:i w:val="0"/>
                <w:color w:val="000000"/>
                <w:sz w:val="17"/>
              </w:rPr>
            </w:r>
            <w:r>
              <w:rPr>
                <w:rFonts w:ascii="Aptos" w:hAnsi="Aptos"/>
                <w:b w:val="0"/>
                <w:i w:val="0"/>
                <w:color w:val="000000"/>
                <w:sz w:val="17"/>
              </w:rPr>
              <w:t>Aprakstīt situāciju un teritorijas labiekārtojumu, tostarp piekļuves, ietvju, iebraucamo ceļu, pagalma un virszemes ūdens novadīšanas faktisko stāvokli, ciktāl tas ietekmē ēku.</w:t>
            </w:r>
          </w:p>
        </w:tc>
      </w:tr>
      <w:tr>
        <w:trPr>
          <w:cantSplit/>
        </w:trPr>
        <w:tc>
          <w:tcPr>
            <w:tcW w:type="dxa" w:w="567"/>
            <w:vAlign w:val="top"/>
            <w:tcMar>
              <w:top w:w="100" w:type="dxa"/>
              <w:start w:w="120" w:type="dxa"/>
              <w:bottom w:w="100" w:type="dxa"/>
              <w:end w:w="120" w:type="dxa"/>
            </w:tcMar>
          </w:tcPr>
          <w:p>
            <w:pPr>
              <w:spacing w:after="20" w:line="240" w:lineRule="auto"/>
              <w:jc w:val="center"/>
            </w:pPr>
            <w:r>
              <w:rPr>
                <w:rFonts w:ascii="Aptos" w:hAnsi="Aptos"/>
                <w:b w:val="0"/>
                <w:i w:val="0"/>
                <w:color w:val="000000"/>
                <w:sz w:val="17"/>
              </w:rPr>
            </w:r>
            <w:r>
              <w:rPr>
                <w:rFonts w:ascii="Aptos" w:hAnsi="Aptos"/>
                <w:b w:val="0"/>
                <w:i w:val="0"/>
                <w:color w:val="000000"/>
                <w:sz w:val="17"/>
              </w:rPr>
              <w:t>5.14.</w:t>
            </w:r>
          </w:p>
        </w:tc>
        <w:tc>
          <w:tcPr>
            <w:tcW w:type="dxa" w:w="2438"/>
            <w:vAlign w:val="top"/>
            <w:tcMar>
              <w:top w:w="100" w:type="dxa"/>
              <w:start w:w="120" w:type="dxa"/>
              <w:bottom w:w="100" w:type="dxa"/>
              <w:end w:w="120" w:type="dxa"/>
            </w:tcMar>
          </w:tcPr>
          <w:p>
            <w:pPr>
              <w:spacing w:after="20" w:line="240" w:lineRule="auto"/>
              <w:jc w:val="left"/>
            </w:pPr>
            <w:r>
              <w:rPr>
                <w:rFonts w:ascii="Aptos" w:hAnsi="Aptos"/>
                <w:b w:val="0"/>
                <w:i w:val="0"/>
                <w:color w:val="000000"/>
                <w:sz w:val="17"/>
              </w:rPr>
            </w:r>
            <w:r>
              <w:rPr>
                <w:rFonts w:ascii="Aptos" w:hAnsi="Aptos"/>
                <w:b w:val="0"/>
                <w:i w:val="0"/>
                <w:color w:val="000000"/>
                <w:sz w:val="17"/>
              </w:rPr>
              <w:t>Būves daļu novērtējums</w:t>
            </w:r>
          </w:p>
        </w:tc>
        <w:tc>
          <w:tcPr>
            <w:tcW w:type="dxa" w:w="6066"/>
            <w:vAlign w:val="top"/>
            <w:tcMar>
              <w:top w:w="100" w:type="dxa"/>
              <w:start w:w="120" w:type="dxa"/>
              <w:bottom w:w="100" w:type="dxa"/>
              <w:end w:w="120" w:type="dxa"/>
            </w:tcMar>
          </w:tcPr>
          <w:p>
            <w:pPr>
              <w:spacing w:after="20" w:line="240" w:lineRule="auto"/>
            </w:pPr>
            <w:r>
              <w:rPr>
                <w:rFonts w:ascii="Aptos" w:hAnsi="Aptos"/>
                <w:b w:val="0"/>
                <w:i w:val="0"/>
                <w:color w:val="000000"/>
                <w:sz w:val="17"/>
              </w:rPr>
            </w:r>
            <w:r>
              <w:rPr>
                <w:rFonts w:ascii="Aptos" w:hAnsi="Aptos"/>
                <w:b w:val="0"/>
                <w:i w:val="0"/>
                <w:color w:val="000000"/>
                <w:sz w:val="17"/>
              </w:rPr>
              <w:t>Katrai apsekotajai būves daļai aprakstīt tehnisko stāvokli, nolietojumu, bojājumus, iespējamos cēloņus un ieteicamos risinājumus.</w:t>
            </w:r>
          </w:p>
        </w:tc>
      </w:tr>
      <w:tr>
        <w:trPr>
          <w:cantSplit/>
        </w:trPr>
        <w:tc>
          <w:tcPr>
            <w:tcW w:type="dxa" w:w="567"/>
            <w:shd w:fill="F4F8FC"/>
            <w:vAlign w:val="top"/>
            <w:tcMar>
              <w:top w:w="100" w:type="dxa"/>
              <w:start w:w="120" w:type="dxa"/>
              <w:bottom w:w="100" w:type="dxa"/>
              <w:end w:w="120" w:type="dxa"/>
            </w:tcMar>
          </w:tcPr>
          <w:p>
            <w:pPr>
              <w:spacing w:after="20" w:line="240" w:lineRule="auto"/>
              <w:jc w:val="center"/>
            </w:pPr>
            <w:r>
              <w:rPr>
                <w:rFonts w:ascii="Aptos" w:hAnsi="Aptos"/>
                <w:b w:val="0"/>
                <w:i w:val="0"/>
                <w:color w:val="000000"/>
                <w:sz w:val="17"/>
              </w:rPr>
            </w:r>
            <w:r>
              <w:rPr>
                <w:rFonts w:ascii="Aptos" w:hAnsi="Aptos"/>
                <w:b w:val="0"/>
                <w:i w:val="0"/>
                <w:color w:val="000000"/>
                <w:sz w:val="17"/>
              </w:rPr>
              <w:t>5.15.</w:t>
            </w:r>
          </w:p>
        </w:tc>
        <w:tc>
          <w:tcPr>
            <w:tcW w:type="dxa" w:w="2438"/>
            <w:shd w:fill="F4F8FC"/>
            <w:vAlign w:val="top"/>
            <w:tcMar>
              <w:top w:w="100" w:type="dxa"/>
              <w:start w:w="120" w:type="dxa"/>
              <w:bottom w:w="100" w:type="dxa"/>
              <w:end w:w="120" w:type="dxa"/>
            </w:tcMar>
          </w:tcPr>
          <w:p>
            <w:pPr>
              <w:spacing w:after="20" w:line="240" w:lineRule="auto"/>
              <w:jc w:val="left"/>
            </w:pPr>
            <w:r>
              <w:rPr>
                <w:rFonts w:ascii="Aptos" w:hAnsi="Aptos"/>
                <w:b w:val="0"/>
                <w:i w:val="0"/>
                <w:color w:val="000000"/>
                <w:sz w:val="17"/>
              </w:rPr>
            </w:r>
            <w:r>
              <w:rPr>
                <w:rFonts w:ascii="Aptos" w:hAnsi="Aptos"/>
                <w:b w:val="0"/>
                <w:i w:val="0"/>
                <w:color w:val="000000"/>
                <w:sz w:val="17"/>
              </w:rPr>
              <w:t>Iekšējo inženiertīklu novērtējums</w:t>
            </w:r>
          </w:p>
        </w:tc>
        <w:tc>
          <w:tcPr>
            <w:tcW w:type="dxa" w:w="6066"/>
            <w:shd w:fill="F4F8FC"/>
            <w:vAlign w:val="top"/>
            <w:tcMar>
              <w:top w:w="100" w:type="dxa"/>
              <w:start w:w="120" w:type="dxa"/>
              <w:bottom w:w="100" w:type="dxa"/>
              <w:end w:w="120" w:type="dxa"/>
            </w:tcMar>
          </w:tcPr>
          <w:p>
            <w:pPr>
              <w:spacing w:after="20" w:line="240" w:lineRule="auto"/>
            </w:pPr>
            <w:r>
              <w:rPr>
                <w:rFonts w:ascii="Aptos" w:hAnsi="Aptos"/>
                <w:b w:val="0"/>
                <w:i w:val="0"/>
                <w:color w:val="000000"/>
                <w:sz w:val="17"/>
              </w:rPr>
            </w:r>
            <w:r>
              <w:rPr>
                <w:rFonts w:ascii="Aptos" w:hAnsi="Aptos"/>
                <w:b w:val="0"/>
                <w:i w:val="0"/>
                <w:color w:val="000000"/>
                <w:sz w:val="17"/>
              </w:rPr>
              <w:t>Aprakstīt ēkas koplietošanas iekšējo inženiertīklu un sistēmu tehnisko stāvokli un norādīt nepieciešamos uzturēšanas, remonta vai atjaunošanas darbus.</w:t>
            </w:r>
          </w:p>
        </w:tc>
      </w:tr>
      <w:tr>
        <w:trPr>
          <w:cantSplit/>
        </w:trPr>
        <w:tc>
          <w:tcPr>
            <w:tcW w:type="dxa" w:w="567"/>
            <w:vAlign w:val="top"/>
            <w:tcMar>
              <w:top w:w="100" w:type="dxa"/>
              <w:start w:w="120" w:type="dxa"/>
              <w:bottom w:w="100" w:type="dxa"/>
              <w:end w:w="120" w:type="dxa"/>
            </w:tcMar>
          </w:tcPr>
          <w:p>
            <w:pPr>
              <w:spacing w:after="20" w:line="240" w:lineRule="auto"/>
              <w:jc w:val="center"/>
            </w:pPr>
            <w:r>
              <w:rPr>
                <w:rFonts w:ascii="Aptos" w:hAnsi="Aptos"/>
                <w:b w:val="0"/>
                <w:i w:val="0"/>
                <w:color w:val="000000"/>
                <w:sz w:val="17"/>
              </w:rPr>
            </w:r>
            <w:r>
              <w:rPr>
                <w:rFonts w:ascii="Aptos" w:hAnsi="Aptos"/>
                <w:b w:val="0"/>
                <w:i w:val="0"/>
                <w:color w:val="000000"/>
                <w:sz w:val="17"/>
              </w:rPr>
              <w:t>5.16.</w:t>
            </w:r>
          </w:p>
        </w:tc>
        <w:tc>
          <w:tcPr>
            <w:tcW w:type="dxa" w:w="2438"/>
            <w:vAlign w:val="top"/>
            <w:tcMar>
              <w:top w:w="100" w:type="dxa"/>
              <w:start w:w="120" w:type="dxa"/>
              <w:bottom w:w="100" w:type="dxa"/>
              <w:end w:w="120" w:type="dxa"/>
            </w:tcMar>
          </w:tcPr>
          <w:p>
            <w:pPr>
              <w:spacing w:after="20" w:line="240" w:lineRule="auto"/>
              <w:jc w:val="left"/>
            </w:pPr>
            <w:r>
              <w:rPr>
                <w:rFonts w:ascii="Aptos" w:hAnsi="Aptos"/>
                <w:b w:val="0"/>
                <w:i w:val="0"/>
                <w:color w:val="000000"/>
                <w:sz w:val="17"/>
              </w:rPr>
            </w:r>
            <w:r>
              <w:rPr>
                <w:rFonts w:ascii="Aptos" w:hAnsi="Aptos"/>
                <w:b w:val="0"/>
                <w:i w:val="0"/>
                <w:color w:val="000000"/>
                <w:sz w:val="17"/>
              </w:rPr>
              <w:t>Ārējo tīklu novērtējuma robežas</w:t>
            </w:r>
          </w:p>
        </w:tc>
        <w:tc>
          <w:tcPr>
            <w:tcW w:type="dxa" w:w="6066"/>
            <w:vAlign w:val="top"/>
            <w:tcMar>
              <w:top w:w="100" w:type="dxa"/>
              <w:start w:w="120" w:type="dxa"/>
              <w:bottom w:w="100" w:type="dxa"/>
              <w:end w:w="120" w:type="dxa"/>
            </w:tcMar>
          </w:tcPr>
          <w:p>
            <w:pPr>
              <w:spacing w:after="20" w:line="240" w:lineRule="auto"/>
            </w:pPr>
            <w:r>
              <w:rPr>
                <w:rFonts w:ascii="Aptos" w:hAnsi="Aptos"/>
                <w:b w:val="0"/>
                <w:i w:val="0"/>
                <w:color w:val="000000"/>
                <w:sz w:val="17"/>
              </w:rPr>
            </w:r>
            <w:r>
              <w:rPr>
                <w:rFonts w:ascii="Aptos" w:hAnsi="Aptos"/>
                <w:b w:val="0"/>
                <w:i w:val="0"/>
                <w:color w:val="000000"/>
                <w:sz w:val="17"/>
              </w:rPr>
              <w:t>Aprakstīt ar ēku saistīto ārējo inženiertīklu un pievadu vizuāli pieejamo daļu stāvokli un sniegt rekomendācijas turpmākai specializētai pārbaudei, ja tā nepieciešama.</w:t>
            </w:r>
          </w:p>
        </w:tc>
      </w:tr>
      <w:tr>
        <w:trPr>
          <w:cantSplit/>
        </w:trPr>
        <w:tc>
          <w:tcPr>
            <w:tcW w:type="dxa" w:w="567"/>
            <w:shd w:fill="F4F8FC"/>
            <w:vAlign w:val="top"/>
            <w:tcMar>
              <w:top w:w="100" w:type="dxa"/>
              <w:start w:w="120" w:type="dxa"/>
              <w:bottom w:w="100" w:type="dxa"/>
              <w:end w:w="120" w:type="dxa"/>
            </w:tcMar>
          </w:tcPr>
          <w:p>
            <w:pPr>
              <w:spacing w:after="20" w:line="240" w:lineRule="auto"/>
              <w:jc w:val="center"/>
            </w:pPr>
            <w:r>
              <w:rPr>
                <w:rFonts w:ascii="Aptos" w:hAnsi="Aptos"/>
                <w:b w:val="0"/>
                <w:i w:val="0"/>
                <w:color w:val="000000"/>
                <w:sz w:val="17"/>
              </w:rPr>
            </w:r>
            <w:r>
              <w:rPr>
                <w:rFonts w:ascii="Aptos" w:hAnsi="Aptos"/>
                <w:b w:val="0"/>
                <w:i w:val="0"/>
                <w:color w:val="000000"/>
                <w:sz w:val="17"/>
              </w:rPr>
              <w:t>5.17.</w:t>
            </w:r>
          </w:p>
        </w:tc>
        <w:tc>
          <w:tcPr>
            <w:tcW w:type="dxa" w:w="2438"/>
            <w:shd w:fill="F4F8FC"/>
            <w:vAlign w:val="top"/>
            <w:tcMar>
              <w:top w:w="100" w:type="dxa"/>
              <w:start w:w="120" w:type="dxa"/>
              <w:bottom w:w="100" w:type="dxa"/>
              <w:end w:w="120" w:type="dxa"/>
            </w:tcMar>
          </w:tcPr>
          <w:p>
            <w:pPr>
              <w:spacing w:after="20" w:line="240" w:lineRule="auto"/>
              <w:jc w:val="left"/>
            </w:pPr>
            <w:r>
              <w:rPr>
                <w:rFonts w:ascii="Aptos" w:hAnsi="Aptos"/>
                <w:b w:val="0"/>
                <w:i w:val="0"/>
                <w:color w:val="000000"/>
                <w:sz w:val="17"/>
              </w:rPr>
            </w:r>
            <w:r>
              <w:rPr>
                <w:rFonts w:ascii="Aptos" w:hAnsi="Aptos"/>
                <w:b w:val="0"/>
                <w:i w:val="0"/>
                <w:color w:val="000000"/>
                <w:sz w:val="17"/>
              </w:rPr>
              <w:t>Kopsavilkums</w:t>
            </w:r>
          </w:p>
        </w:tc>
        <w:tc>
          <w:tcPr>
            <w:tcW w:type="dxa" w:w="6066"/>
            <w:shd w:fill="F4F8FC"/>
            <w:vAlign w:val="top"/>
            <w:tcMar>
              <w:top w:w="100" w:type="dxa"/>
              <w:start w:w="120" w:type="dxa"/>
              <w:bottom w:w="100" w:type="dxa"/>
              <w:end w:w="120" w:type="dxa"/>
            </w:tcMar>
          </w:tcPr>
          <w:p>
            <w:pPr>
              <w:spacing w:after="20" w:line="240" w:lineRule="auto"/>
            </w:pPr>
            <w:r>
              <w:rPr>
                <w:rFonts w:ascii="Aptos" w:hAnsi="Aptos"/>
                <w:b w:val="0"/>
                <w:i w:val="0"/>
                <w:color w:val="000000"/>
                <w:sz w:val="17"/>
              </w:rPr>
            </w:r>
            <w:r>
              <w:rPr>
                <w:rFonts w:ascii="Aptos" w:hAnsi="Aptos"/>
                <w:b w:val="0"/>
                <w:i w:val="0"/>
                <w:color w:val="000000"/>
                <w:sz w:val="17"/>
              </w:rPr>
              <w:t>Apkopot ēkas kopējo tehnisko stāvokli, raksturīgākās problēmas, konstrukciju un sistēmu nolietojumu un paredzamo turpmākās ekspluatācijas iespēju.</w:t>
            </w:r>
          </w:p>
        </w:tc>
      </w:tr>
      <w:tr>
        <w:trPr>
          <w:cantSplit/>
        </w:trPr>
        <w:tc>
          <w:tcPr>
            <w:tcW w:type="dxa" w:w="567"/>
            <w:vAlign w:val="top"/>
            <w:tcMar>
              <w:top w:w="100" w:type="dxa"/>
              <w:start w:w="120" w:type="dxa"/>
              <w:bottom w:w="100" w:type="dxa"/>
              <w:end w:w="120" w:type="dxa"/>
            </w:tcMar>
          </w:tcPr>
          <w:p>
            <w:pPr>
              <w:spacing w:after="20" w:line="240" w:lineRule="auto"/>
              <w:jc w:val="center"/>
            </w:pPr>
            <w:r>
              <w:rPr>
                <w:rFonts w:ascii="Aptos" w:hAnsi="Aptos"/>
                <w:b w:val="0"/>
                <w:i w:val="0"/>
                <w:color w:val="000000"/>
                <w:sz w:val="17"/>
              </w:rPr>
            </w:r>
            <w:r>
              <w:rPr>
                <w:rFonts w:ascii="Aptos" w:hAnsi="Aptos"/>
                <w:b w:val="0"/>
                <w:i w:val="0"/>
                <w:color w:val="000000"/>
                <w:sz w:val="17"/>
              </w:rPr>
              <w:t>5.18.</w:t>
            </w:r>
          </w:p>
        </w:tc>
        <w:tc>
          <w:tcPr>
            <w:tcW w:type="dxa" w:w="2438"/>
            <w:vAlign w:val="top"/>
            <w:tcMar>
              <w:top w:w="100" w:type="dxa"/>
              <w:start w:w="120" w:type="dxa"/>
              <w:bottom w:w="100" w:type="dxa"/>
              <w:end w:w="120" w:type="dxa"/>
            </w:tcMar>
          </w:tcPr>
          <w:p>
            <w:pPr>
              <w:spacing w:after="20" w:line="240" w:lineRule="auto"/>
              <w:jc w:val="left"/>
            </w:pPr>
            <w:r>
              <w:rPr>
                <w:rFonts w:ascii="Aptos" w:hAnsi="Aptos"/>
                <w:b w:val="0"/>
                <w:i w:val="0"/>
                <w:color w:val="000000"/>
                <w:sz w:val="17"/>
              </w:rPr>
            </w:r>
            <w:r>
              <w:rPr>
                <w:rFonts w:ascii="Aptos" w:hAnsi="Aptos"/>
                <w:b w:val="0"/>
                <w:i w:val="0"/>
                <w:color w:val="000000"/>
                <w:sz w:val="17"/>
              </w:rPr>
              <w:t>Secinājumi</w:t>
            </w:r>
          </w:p>
        </w:tc>
        <w:tc>
          <w:tcPr>
            <w:tcW w:type="dxa" w:w="6066"/>
            <w:vAlign w:val="top"/>
            <w:tcMar>
              <w:top w:w="100" w:type="dxa"/>
              <w:start w:w="120" w:type="dxa"/>
              <w:bottom w:w="100" w:type="dxa"/>
              <w:end w:w="120" w:type="dxa"/>
            </w:tcMar>
          </w:tcPr>
          <w:p>
            <w:pPr>
              <w:spacing w:after="20" w:line="240" w:lineRule="auto"/>
            </w:pPr>
            <w:r>
              <w:rPr>
                <w:rFonts w:ascii="Aptos" w:hAnsi="Aptos"/>
                <w:b w:val="0"/>
                <w:i w:val="0"/>
                <w:color w:val="000000"/>
                <w:sz w:val="17"/>
              </w:rPr>
            </w:r>
            <w:r>
              <w:rPr>
                <w:rFonts w:ascii="Aptos" w:hAnsi="Aptos"/>
                <w:b w:val="0"/>
                <w:i w:val="0"/>
                <w:color w:val="000000"/>
                <w:sz w:val="17"/>
              </w:rPr>
              <w:t>Sniegt secinājumus par būves nestspēju, stabilitāti un drošu turpmāko ekspluatāciju. Skaidri norādīt pirmsavārijas vai avārijas pazīmes, ja tādas konstatētas.</w:t>
            </w:r>
          </w:p>
        </w:tc>
      </w:tr>
      <w:tr>
        <w:trPr>
          <w:cantSplit/>
        </w:trPr>
        <w:tc>
          <w:tcPr>
            <w:tcW w:type="dxa" w:w="567"/>
            <w:shd w:fill="F4F8FC"/>
            <w:vAlign w:val="top"/>
            <w:tcMar>
              <w:top w:w="100" w:type="dxa"/>
              <w:start w:w="120" w:type="dxa"/>
              <w:bottom w:w="100" w:type="dxa"/>
              <w:end w:w="120" w:type="dxa"/>
            </w:tcMar>
          </w:tcPr>
          <w:p>
            <w:pPr>
              <w:spacing w:after="20" w:line="240" w:lineRule="auto"/>
              <w:jc w:val="center"/>
            </w:pPr>
            <w:r>
              <w:rPr>
                <w:rFonts w:ascii="Aptos" w:hAnsi="Aptos"/>
                <w:b w:val="0"/>
                <w:i w:val="0"/>
                <w:color w:val="000000"/>
                <w:sz w:val="17"/>
              </w:rPr>
            </w:r>
            <w:r>
              <w:rPr>
                <w:rFonts w:ascii="Aptos" w:hAnsi="Aptos"/>
                <w:b w:val="0"/>
                <w:i w:val="0"/>
                <w:color w:val="000000"/>
                <w:sz w:val="17"/>
              </w:rPr>
              <w:t>5.19.</w:t>
            </w:r>
          </w:p>
        </w:tc>
        <w:tc>
          <w:tcPr>
            <w:tcW w:type="dxa" w:w="2438"/>
            <w:shd w:fill="F4F8FC"/>
            <w:vAlign w:val="top"/>
            <w:tcMar>
              <w:top w:w="100" w:type="dxa"/>
              <w:start w:w="120" w:type="dxa"/>
              <w:bottom w:w="100" w:type="dxa"/>
              <w:end w:w="120" w:type="dxa"/>
            </w:tcMar>
          </w:tcPr>
          <w:p>
            <w:pPr>
              <w:spacing w:after="20" w:line="240" w:lineRule="auto"/>
              <w:jc w:val="left"/>
            </w:pPr>
            <w:r>
              <w:rPr>
                <w:rFonts w:ascii="Aptos" w:hAnsi="Aptos"/>
                <w:b w:val="0"/>
                <w:i w:val="0"/>
                <w:color w:val="000000"/>
                <w:sz w:val="17"/>
              </w:rPr>
            </w:r>
            <w:r>
              <w:rPr>
                <w:rFonts w:ascii="Aptos" w:hAnsi="Aptos"/>
                <w:b w:val="0"/>
                <w:i w:val="0"/>
                <w:color w:val="000000"/>
                <w:sz w:val="17"/>
              </w:rPr>
              <w:t>Darbu prioritātes</w:t>
            </w:r>
          </w:p>
        </w:tc>
        <w:tc>
          <w:tcPr>
            <w:tcW w:type="dxa" w:w="6066"/>
            <w:shd w:fill="F4F8FC"/>
            <w:vAlign w:val="top"/>
            <w:tcMar>
              <w:top w:w="100" w:type="dxa"/>
              <w:start w:w="120" w:type="dxa"/>
              <w:bottom w:w="100" w:type="dxa"/>
              <w:end w:w="120" w:type="dxa"/>
            </w:tcMar>
          </w:tcPr>
          <w:p>
            <w:pPr>
              <w:spacing w:after="20" w:line="240" w:lineRule="auto"/>
            </w:pPr>
            <w:r>
              <w:rPr>
                <w:rFonts w:ascii="Aptos" w:hAnsi="Aptos"/>
                <w:b w:val="0"/>
                <w:i w:val="0"/>
                <w:color w:val="000000"/>
                <w:sz w:val="17"/>
              </w:rPr>
            </w:r>
            <w:r>
              <w:rPr>
                <w:rFonts w:ascii="Aptos" w:hAnsi="Aptos"/>
                <w:b w:val="0"/>
                <w:i w:val="0"/>
                <w:color w:val="000000"/>
                <w:sz w:val="17"/>
              </w:rPr>
              <w:t>Sagatavot prioritizētu neatliekamo, īstermiņa un plānveida darbu sarakstu ar ieteicamo izpildes secību un termiņiem, kā arī priekšlikumus energoefektivitātes, komforta un ēkas ekspluatācijas ilguma uzlabošanai.</w:t>
            </w:r>
          </w:p>
        </w:tc>
      </w:tr>
      <w:tr>
        <w:trPr>
          <w:cantSplit/>
        </w:trPr>
        <w:tc>
          <w:tcPr>
            <w:tcW w:type="dxa" w:w="567"/>
            <w:vAlign w:val="top"/>
            <w:tcMar>
              <w:top w:w="100" w:type="dxa"/>
              <w:start w:w="120" w:type="dxa"/>
              <w:bottom w:w="100" w:type="dxa"/>
              <w:end w:w="120" w:type="dxa"/>
            </w:tcMar>
          </w:tcPr>
          <w:p>
            <w:pPr>
              <w:spacing w:after="20" w:line="240" w:lineRule="auto"/>
              <w:jc w:val="center"/>
            </w:pPr>
            <w:r>
              <w:rPr>
                <w:rFonts w:ascii="Aptos" w:hAnsi="Aptos"/>
                <w:b w:val="0"/>
                <w:i w:val="0"/>
                <w:color w:val="000000"/>
                <w:sz w:val="17"/>
              </w:rPr>
            </w:r>
            <w:r>
              <w:rPr>
                <w:rFonts w:ascii="Aptos" w:hAnsi="Aptos"/>
                <w:b w:val="0"/>
                <w:i w:val="0"/>
                <w:color w:val="000000"/>
                <w:sz w:val="17"/>
              </w:rPr>
              <w:t>5.20.</w:t>
            </w:r>
          </w:p>
        </w:tc>
        <w:tc>
          <w:tcPr>
            <w:tcW w:type="dxa" w:w="2438"/>
            <w:vAlign w:val="top"/>
            <w:tcMar>
              <w:top w:w="100" w:type="dxa"/>
              <w:start w:w="120" w:type="dxa"/>
              <w:bottom w:w="100" w:type="dxa"/>
              <w:end w:w="120" w:type="dxa"/>
            </w:tcMar>
          </w:tcPr>
          <w:p>
            <w:pPr>
              <w:spacing w:after="20" w:line="240" w:lineRule="auto"/>
              <w:jc w:val="left"/>
            </w:pPr>
            <w:r>
              <w:rPr>
                <w:rFonts w:ascii="Aptos" w:hAnsi="Aptos"/>
                <w:b w:val="0"/>
                <w:i w:val="0"/>
                <w:color w:val="000000"/>
                <w:sz w:val="17"/>
              </w:rPr>
            </w:r>
            <w:r>
              <w:rPr>
                <w:rFonts w:ascii="Aptos" w:hAnsi="Aptos"/>
                <w:b w:val="0"/>
                <w:i w:val="0"/>
                <w:color w:val="000000"/>
                <w:sz w:val="17"/>
              </w:rPr>
              <w:t>Atzinuma fotofiksācijas</w:t>
            </w:r>
          </w:p>
        </w:tc>
        <w:tc>
          <w:tcPr>
            <w:tcW w:type="dxa" w:w="6066"/>
            <w:vAlign w:val="top"/>
            <w:tcMar>
              <w:top w:w="100" w:type="dxa"/>
              <w:start w:w="120" w:type="dxa"/>
              <w:bottom w:w="100" w:type="dxa"/>
              <w:end w:w="120" w:type="dxa"/>
            </w:tcMar>
          </w:tcPr>
          <w:p>
            <w:pPr>
              <w:spacing w:after="20" w:line="240" w:lineRule="auto"/>
            </w:pPr>
            <w:r>
              <w:rPr>
                <w:rFonts w:ascii="Aptos" w:hAnsi="Aptos"/>
                <w:b w:val="0"/>
                <w:i w:val="0"/>
                <w:color w:val="000000"/>
                <w:sz w:val="17"/>
              </w:rPr>
            </w:r>
            <w:r>
              <w:rPr>
                <w:rFonts w:ascii="Aptos" w:hAnsi="Aptos"/>
                <w:b w:val="0"/>
                <w:i w:val="0"/>
                <w:color w:val="000000"/>
                <w:sz w:val="17"/>
              </w:rPr>
              <w:t>Pievienot fotofiksācijas ar faktiskās situācijas un bojājumu aprakstiem.</w:t>
            </w:r>
          </w:p>
        </w:tc>
      </w:tr>
      <w:tr>
        <w:trPr>
          <w:cantSplit/>
        </w:trPr>
        <w:tc>
          <w:tcPr>
            <w:tcW w:type="dxa" w:w="567"/>
            <w:shd w:fill="F4F8FC"/>
            <w:vAlign w:val="top"/>
            <w:tcMar>
              <w:top w:w="100" w:type="dxa"/>
              <w:start w:w="120" w:type="dxa"/>
              <w:bottom w:w="100" w:type="dxa"/>
              <w:end w:w="120" w:type="dxa"/>
            </w:tcMar>
          </w:tcPr>
          <w:p>
            <w:pPr>
              <w:spacing w:after="20" w:line="240" w:lineRule="auto"/>
              <w:jc w:val="center"/>
            </w:pPr>
            <w:r>
              <w:rPr>
                <w:rFonts w:ascii="Aptos" w:hAnsi="Aptos"/>
                <w:b w:val="0"/>
                <w:i w:val="0"/>
                <w:color w:val="000000"/>
                <w:sz w:val="17"/>
              </w:rPr>
            </w:r>
            <w:r>
              <w:rPr>
                <w:rFonts w:ascii="Aptos" w:hAnsi="Aptos"/>
                <w:b w:val="0"/>
                <w:i w:val="0"/>
                <w:color w:val="000000"/>
                <w:sz w:val="17"/>
              </w:rPr>
              <w:t>5.21.</w:t>
            </w:r>
          </w:p>
        </w:tc>
        <w:tc>
          <w:tcPr>
            <w:tcW w:type="dxa" w:w="2438"/>
            <w:shd w:fill="F4F8FC"/>
            <w:vAlign w:val="top"/>
            <w:tcMar>
              <w:top w:w="100" w:type="dxa"/>
              <w:start w:w="120" w:type="dxa"/>
              <w:bottom w:w="100" w:type="dxa"/>
              <w:end w:w="120" w:type="dxa"/>
            </w:tcMar>
          </w:tcPr>
          <w:p>
            <w:pPr>
              <w:spacing w:after="20" w:line="240" w:lineRule="auto"/>
              <w:jc w:val="left"/>
            </w:pPr>
            <w:r>
              <w:rPr>
                <w:rFonts w:ascii="Aptos" w:hAnsi="Aptos"/>
                <w:b w:val="0"/>
                <w:i w:val="0"/>
                <w:color w:val="000000"/>
                <w:sz w:val="17"/>
              </w:rPr>
            </w:r>
            <w:r>
              <w:rPr>
                <w:rFonts w:ascii="Aptos" w:hAnsi="Aptos"/>
                <w:b w:val="0"/>
                <w:i w:val="0"/>
                <w:color w:val="000000"/>
                <w:sz w:val="17"/>
              </w:rPr>
              <w:t>Atzinuma grafiskā daļa</w:t>
            </w:r>
          </w:p>
        </w:tc>
        <w:tc>
          <w:tcPr>
            <w:tcW w:type="dxa" w:w="6066"/>
            <w:shd w:fill="F4F8FC"/>
            <w:vAlign w:val="top"/>
            <w:tcMar>
              <w:top w:w="100" w:type="dxa"/>
              <w:start w:w="120" w:type="dxa"/>
              <w:bottom w:w="100" w:type="dxa"/>
              <w:end w:w="120" w:type="dxa"/>
            </w:tcMar>
          </w:tcPr>
          <w:p>
            <w:pPr>
              <w:spacing w:after="20" w:line="240" w:lineRule="auto"/>
            </w:pPr>
            <w:r>
              <w:rPr>
                <w:rFonts w:ascii="Aptos" w:hAnsi="Aptos"/>
                <w:b w:val="0"/>
                <w:i w:val="0"/>
                <w:color w:val="000000"/>
                <w:sz w:val="17"/>
              </w:rPr>
            </w:r>
            <w:r>
              <w:rPr>
                <w:rFonts w:ascii="Aptos" w:hAnsi="Aptos"/>
                <w:b w:val="0"/>
                <w:i w:val="0"/>
                <w:color w:val="000000"/>
                <w:sz w:val="17"/>
              </w:rPr>
              <w:t>Pievienot būves atrašanās vietu, stāvu plānus, fasāžu shēmas, mezglus vai skices, norādot bojājumu veidus un vietas, uzmērījumu un atsegumu vietas.</w:t>
            </w:r>
          </w:p>
        </w:tc>
      </w:tr>
      <w:tr>
        <w:trPr>
          <w:cantSplit/>
        </w:trPr>
        <w:tc>
          <w:tcPr>
            <w:tcW w:type="dxa" w:w="567"/>
            <w:vAlign w:val="top"/>
            <w:tcMar>
              <w:top w:w="100" w:type="dxa"/>
              <w:start w:w="120" w:type="dxa"/>
              <w:bottom w:w="100" w:type="dxa"/>
              <w:end w:w="120" w:type="dxa"/>
            </w:tcMar>
          </w:tcPr>
          <w:p>
            <w:pPr>
              <w:spacing w:after="20" w:line="240" w:lineRule="auto"/>
              <w:jc w:val="center"/>
            </w:pPr>
            <w:r>
              <w:rPr>
                <w:rFonts w:ascii="Aptos" w:hAnsi="Aptos"/>
                <w:b w:val="0"/>
                <w:i w:val="0"/>
                <w:color w:val="000000"/>
                <w:sz w:val="17"/>
              </w:rPr>
            </w:r>
            <w:r>
              <w:rPr>
                <w:rFonts w:ascii="Aptos" w:hAnsi="Aptos"/>
                <w:b w:val="0"/>
                <w:i w:val="0"/>
                <w:color w:val="000000"/>
                <w:sz w:val="17"/>
              </w:rPr>
              <w:t>6.1.</w:t>
            </w:r>
          </w:p>
        </w:tc>
        <w:tc>
          <w:tcPr>
            <w:tcW w:type="dxa" w:w="2438"/>
            <w:vAlign w:val="top"/>
            <w:tcMar>
              <w:top w:w="100" w:type="dxa"/>
              <w:start w:w="120" w:type="dxa"/>
              <w:bottom w:w="100" w:type="dxa"/>
              <w:end w:w="120" w:type="dxa"/>
            </w:tcMar>
          </w:tcPr>
          <w:p>
            <w:pPr>
              <w:spacing w:after="20" w:line="240" w:lineRule="auto"/>
              <w:jc w:val="left"/>
            </w:pPr>
            <w:r>
              <w:rPr>
                <w:rFonts w:ascii="Aptos" w:hAnsi="Aptos"/>
                <w:b w:val="0"/>
                <w:i w:val="0"/>
                <w:color w:val="000000"/>
                <w:sz w:val="17"/>
              </w:rPr>
            </w:r>
            <w:r>
              <w:rPr>
                <w:rFonts w:ascii="Aptos" w:hAnsi="Aptos"/>
                <w:b w:val="0"/>
                <w:i w:val="0"/>
                <w:color w:val="000000"/>
                <w:sz w:val="17"/>
              </w:rPr>
              <w:t>Vizuālā apsekošana</w:t>
            </w:r>
          </w:p>
        </w:tc>
        <w:tc>
          <w:tcPr>
            <w:tcW w:type="dxa" w:w="6066"/>
            <w:vAlign w:val="top"/>
            <w:tcMar>
              <w:top w:w="100" w:type="dxa"/>
              <w:start w:w="120" w:type="dxa"/>
              <w:bottom w:w="100" w:type="dxa"/>
              <w:end w:w="120" w:type="dxa"/>
            </w:tcMar>
          </w:tcPr>
          <w:p>
            <w:pPr>
              <w:spacing w:after="20" w:line="240" w:lineRule="auto"/>
            </w:pPr>
            <w:r>
              <w:rPr>
                <w:rFonts w:ascii="Aptos" w:hAnsi="Aptos"/>
                <w:b w:val="0"/>
                <w:i w:val="0"/>
                <w:color w:val="000000"/>
                <w:sz w:val="17"/>
              </w:rPr>
            </w:r>
            <w:r>
              <w:rPr>
                <w:rFonts w:ascii="Aptos" w:hAnsi="Aptos"/>
                <w:b w:val="0"/>
                <w:i w:val="0"/>
                <w:color w:val="000000"/>
                <w:sz w:val="17"/>
              </w:rPr>
              <w:t>Izmantot vizuālo apsekošanu, uzmērīšanu, fotofiksāciju un atbilstošus kontroles mērinstrumentus.</w:t>
            </w:r>
          </w:p>
        </w:tc>
      </w:tr>
      <w:tr>
        <w:trPr>
          <w:cantSplit/>
        </w:trPr>
        <w:tc>
          <w:tcPr>
            <w:tcW w:type="dxa" w:w="567"/>
            <w:shd w:fill="F4F8FC"/>
            <w:vAlign w:val="top"/>
            <w:tcMar>
              <w:top w:w="100" w:type="dxa"/>
              <w:start w:w="120" w:type="dxa"/>
              <w:bottom w:w="100" w:type="dxa"/>
              <w:end w:w="120" w:type="dxa"/>
            </w:tcMar>
          </w:tcPr>
          <w:p>
            <w:pPr>
              <w:spacing w:after="20" w:line="240" w:lineRule="auto"/>
              <w:jc w:val="center"/>
            </w:pPr>
            <w:r>
              <w:rPr>
                <w:rFonts w:ascii="Aptos" w:hAnsi="Aptos"/>
                <w:b w:val="0"/>
                <w:i w:val="0"/>
                <w:color w:val="000000"/>
                <w:sz w:val="17"/>
              </w:rPr>
            </w:r>
            <w:r>
              <w:rPr>
                <w:rFonts w:ascii="Aptos" w:hAnsi="Aptos"/>
                <w:b w:val="0"/>
                <w:i w:val="0"/>
                <w:color w:val="000000"/>
                <w:sz w:val="17"/>
              </w:rPr>
              <w:t>6.2.</w:t>
            </w:r>
          </w:p>
        </w:tc>
        <w:tc>
          <w:tcPr>
            <w:tcW w:type="dxa" w:w="2438"/>
            <w:shd w:fill="F4F8FC"/>
            <w:vAlign w:val="top"/>
            <w:tcMar>
              <w:top w:w="100" w:type="dxa"/>
              <w:start w:w="120" w:type="dxa"/>
              <w:bottom w:w="100" w:type="dxa"/>
              <w:end w:w="120" w:type="dxa"/>
            </w:tcMar>
          </w:tcPr>
          <w:p>
            <w:pPr>
              <w:spacing w:after="20" w:line="240" w:lineRule="auto"/>
              <w:jc w:val="left"/>
            </w:pPr>
            <w:r>
              <w:rPr>
                <w:rFonts w:ascii="Aptos" w:hAnsi="Aptos"/>
                <w:b w:val="0"/>
                <w:i w:val="0"/>
                <w:color w:val="000000"/>
                <w:sz w:val="17"/>
              </w:rPr>
            </w:r>
            <w:r>
              <w:rPr>
                <w:rFonts w:ascii="Aptos" w:hAnsi="Aptos"/>
                <w:b w:val="0"/>
                <w:i w:val="0"/>
                <w:color w:val="000000"/>
                <w:sz w:val="17"/>
              </w:rPr>
              <w:t>Detalizētā izpēte</w:t>
            </w:r>
          </w:p>
        </w:tc>
        <w:tc>
          <w:tcPr>
            <w:tcW w:type="dxa" w:w="6066"/>
            <w:shd w:fill="F4F8FC"/>
            <w:vAlign w:val="top"/>
            <w:tcMar>
              <w:top w:w="100" w:type="dxa"/>
              <w:start w:w="120" w:type="dxa"/>
              <w:bottom w:w="100" w:type="dxa"/>
              <w:end w:w="120" w:type="dxa"/>
            </w:tcMar>
          </w:tcPr>
          <w:p>
            <w:pPr>
              <w:spacing w:after="20" w:line="240" w:lineRule="auto"/>
            </w:pPr>
            <w:r>
              <w:rPr>
                <w:rFonts w:ascii="Aptos" w:hAnsi="Aptos"/>
                <w:b w:val="0"/>
                <w:i w:val="0"/>
                <w:color w:val="000000"/>
                <w:sz w:val="17"/>
              </w:rPr>
            </w:r>
            <w:r>
              <w:rPr>
                <w:rFonts w:ascii="Aptos" w:hAnsi="Aptos"/>
                <w:b w:val="0"/>
                <w:i w:val="0"/>
                <w:color w:val="000000"/>
                <w:sz w:val="17"/>
              </w:rPr>
              <w:t>Ja nepieciešams pamatotu secinājumu sagatavošanai, veikt zondāžu, urbumus, skatrakumus vai konstrukciju atsegumus.</w:t>
            </w:r>
          </w:p>
        </w:tc>
      </w:tr>
      <w:tr>
        <w:trPr>
          <w:cantSplit/>
        </w:trPr>
        <w:tc>
          <w:tcPr>
            <w:tcW w:type="dxa" w:w="567"/>
            <w:vAlign w:val="top"/>
            <w:tcMar>
              <w:top w:w="100" w:type="dxa"/>
              <w:start w:w="120" w:type="dxa"/>
              <w:bottom w:w="100" w:type="dxa"/>
              <w:end w:w="120" w:type="dxa"/>
            </w:tcMar>
          </w:tcPr>
          <w:p>
            <w:pPr>
              <w:spacing w:after="20" w:line="240" w:lineRule="auto"/>
              <w:jc w:val="center"/>
            </w:pPr>
            <w:r>
              <w:rPr>
                <w:rFonts w:ascii="Aptos" w:hAnsi="Aptos"/>
                <w:b w:val="0"/>
                <w:i w:val="0"/>
                <w:color w:val="000000"/>
                <w:sz w:val="17"/>
              </w:rPr>
            </w:r>
            <w:r>
              <w:rPr>
                <w:rFonts w:ascii="Aptos" w:hAnsi="Aptos"/>
                <w:b w:val="0"/>
                <w:i w:val="0"/>
                <w:color w:val="000000"/>
                <w:sz w:val="17"/>
              </w:rPr>
              <w:t>6.3.</w:t>
            </w:r>
          </w:p>
        </w:tc>
        <w:tc>
          <w:tcPr>
            <w:tcW w:type="dxa" w:w="2438"/>
            <w:vAlign w:val="top"/>
            <w:tcMar>
              <w:top w:w="100" w:type="dxa"/>
              <w:start w:w="120" w:type="dxa"/>
              <w:bottom w:w="100" w:type="dxa"/>
              <w:end w:w="120" w:type="dxa"/>
            </w:tcMar>
          </w:tcPr>
          <w:p>
            <w:pPr>
              <w:spacing w:after="20" w:line="240" w:lineRule="auto"/>
              <w:jc w:val="left"/>
            </w:pPr>
            <w:r>
              <w:rPr>
                <w:rFonts w:ascii="Aptos" w:hAnsi="Aptos"/>
                <w:b w:val="0"/>
                <w:i w:val="0"/>
                <w:color w:val="000000"/>
                <w:sz w:val="17"/>
              </w:rPr>
            </w:r>
            <w:r>
              <w:rPr>
                <w:rFonts w:ascii="Aptos" w:hAnsi="Aptos"/>
                <w:b w:val="0"/>
                <w:i w:val="0"/>
                <w:color w:val="000000"/>
                <w:sz w:val="17"/>
              </w:rPr>
              <w:t>Instrumentālie mērījumi</w:t>
            </w:r>
          </w:p>
        </w:tc>
        <w:tc>
          <w:tcPr>
            <w:tcW w:type="dxa" w:w="6066"/>
            <w:vAlign w:val="top"/>
            <w:tcMar>
              <w:top w:w="100" w:type="dxa"/>
              <w:start w:w="120" w:type="dxa"/>
              <w:bottom w:w="100" w:type="dxa"/>
              <w:end w:w="120" w:type="dxa"/>
            </w:tcMar>
          </w:tcPr>
          <w:p>
            <w:pPr>
              <w:spacing w:after="20" w:line="240" w:lineRule="auto"/>
            </w:pPr>
            <w:r>
              <w:rPr>
                <w:rFonts w:ascii="Aptos" w:hAnsi="Aptos"/>
                <w:b w:val="0"/>
                <w:i w:val="0"/>
                <w:color w:val="000000"/>
                <w:sz w:val="17"/>
              </w:rPr>
            </w:r>
            <w:r>
              <w:rPr>
                <w:rFonts w:ascii="Aptos" w:hAnsi="Aptos"/>
                <w:b w:val="0"/>
                <w:i w:val="0"/>
                <w:color w:val="000000"/>
                <w:sz w:val="17"/>
              </w:rPr>
              <w:t>Konstrukciju nestspējas, pārvietojumu, sēšanās, sānsveres, izlieču, plaisu vai deformāciju novērtēšanai izmantot atbilstošus instrumentālos mērījumus un, ja nepieciešams, monitoringu.</w:t>
            </w:r>
          </w:p>
        </w:tc>
      </w:tr>
      <w:tr>
        <w:trPr>
          <w:cantSplit/>
        </w:trPr>
        <w:tc>
          <w:tcPr>
            <w:tcW w:type="dxa" w:w="567"/>
            <w:shd w:fill="F4F8FC"/>
            <w:vAlign w:val="top"/>
            <w:tcMar>
              <w:top w:w="100" w:type="dxa"/>
              <w:start w:w="120" w:type="dxa"/>
              <w:bottom w:w="100" w:type="dxa"/>
              <w:end w:w="120" w:type="dxa"/>
            </w:tcMar>
          </w:tcPr>
          <w:p>
            <w:pPr>
              <w:spacing w:after="20" w:line="240" w:lineRule="auto"/>
              <w:jc w:val="center"/>
            </w:pPr>
            <w:r>
              <w:rPr>
                <w:rFonts w:ascii="Aptos" w:hAnsi="Aptos"/>
                <w:b w:val="0"/>
                <w:i w:val="0"/>
                <w:color w:val="000000"/>
                <w:sz w:val="17"/>
              </w:rPr>
            </w:r>
            <w:r>
              <w:rPr>
                <w:rFonts w:ascii="Aptos" w:hAnsi="Aptos"/>
                <w:b w:val="0"/>
                <w:i w:val="0"/>
                <w:color w:val="000000"/>
                <w:sz w:val="17"/>
              </w:rPr>
              <w:t>6.4.</w:t>
            </w:r>
          </w:p>
        </w:tc>
        <w:tc>
          <w:tcPr>
            <w:tcW w:type="dxa" w:w="2438"/>
            <w:shd w:fill="F4F8FC"/>
            <w:vAlign w:val="top"/>
            <w:tcMar>
              <w:top w:w="100" w:type="dxa"/>
              <w:start w:w="120" w:type="dxa"/>
              <w:bottom w:w="100" w:type="dxa"/>
              <w:end w:w="120" w:type="dxa"/>
            </w:tcMar>
          </w:tcPr>
          <w:p>
            <w:pPr>
              <w:spacing w:after="20" w:line="240" w:lineRule="auto"/>
              <w:jc w:val="left"/>
            </w:pPr>
            <w:r>
              <w:rPr>
                <w:rFonts w:ascii="Aptos" w:hAnsi="Aptos"/>
                <w:b w:val="0"/>
                <w:i w:val="0"/>
                <w:color w:val="000000"/>
                <w:sz w:val="17"/>
              </w:rPr>
            </w:r>
            <w:r>
              <w:rPr>
                <w:rFonts w:ascii="Aptos" w:hAnsi="Aptos"/>
                <w:b w:val="0"/>
                <w:i w:val="0"/>
                <w:color w:val="000000"/>
                <w:sz w:val="17"/>
              </w:rPr>
              <w:t>Segto konstrukciju pārbaude</w:t>
            </w:r>
          </w:p>
        </w:tc>
        <w:tc>
          <w:tcPr>
            <w:tcW w:type="dxa" w:w="6066"/>
            <w:shd w:fill="F4F8FC"/>
            <w:vAlign w:val="top"/>
            <w:tcMar>
              <w:top w:w="100" w:type="dxa"/>
              <w:start w:w="120" w:type="dxa"/>
              <w:bottom w:w="100" w:type="dxa"/>
              <w:end w:w="120" w:type="dxa"/>
            </w:tcMar>
          </w:tcPr>
          <w:p>
            <w:pPr>
              <w:spacing w:after="20" w:line="240" w:lineRule="auto"/>
            </w:pPr>
            <w:r>
              <w:rPr>
                <w:rFonts w:ascii="Aptos" w:hAnsi="Aptos"/>
                <w:b w:val="0"/>
                <w:i w:val="0"/>
                <w:color w:val="000000"/>
                <w:sz w:val="17"/>
              </w:rPr>
            </w:r>
            <w:r>
              <w:rPr>
                <w:rFonts w:ascii="Aptos" w:hAnsi="Aptos"/>
                <w:b w:val="0"/>
                <w:i w:val="0"/>
                <w:color w:val="000000"/>
                <w:sz w:val="17"/>
              </w:rPr>
              <w:t>Segto konstrukciju defektus un bojājumus izpētīt, ja apsekošanas gaitā konstatētas pazīmes, kas pamato detalizētu pārbaudi.</w:t>
            </w:r>
          </w:p>
        </w:tc>
      </w:tr>
      <w:tr>
        <w:trPr>
          <w:cantSplit/>
        </w:trPr>
        <w:tc>
          <w:tcPr>
            <w:tcW w:type="dxa" w:w="567"/>
            <w:vAlign w:val="top"/>
            <w:tcMar>
              <w:top w:w="100" w:type="dxa"/>
              <w:start w:w="120" w:type="dxa"/>
              <w:bottom w:w="100" w:type="dxa"/>
              <w:end w:w="120" w:type="dxa"/>
            </w:tcMar>
          </w:tcPr>
          <w:p>
            <w:pPr>
              <w:spacing w:after="20" w:line="240" w:lineRule="auto"/>
              <w:jc w:val="center"/>
            </w:pPr>
            <w:r>
              <w:rPr>
                <w:rFonts w:ascii="Aptos" w:hAnsi="Aptos"/>
                <w:b w:val="0"/>
                <w:i w:val="0"/>
                <w:color w:val="000000"/>
                <w:sz w:val="17"/>
              </w:rPr>
            </w:r>
            <w:r>
              <w:rPr>
                <w:rFonts w:ascii="Aptos" w:hAnsi="Aptos"/>
                <w:b w:val="0"/>
                <w:i w:val="0"/>
                <w:color w:val="000000"/>
                <w:sz w:val="17"/>
              </w:rPr>
              <w:t>6.5.</w:t>
            </w:r>
          </w:p>
        </w:tc>
        <w:tc>
          <w:tcPr>
            <w:tcW w:type="dxa" w:w="2438"/>
            <w:vAlign w:val="top"/>
            <w:tcMar>
              <w:top w:w="100" w:type="dxa"/>
              <w:start w:w="120" w:type="dxa"/>
              <w:bottom w:w="100" w:type="dxa"/>
              <w:end w:w="120" w:type="dxa"/>
            </w:tcMar>
          </w:tcPr>
          <w:p>
            <w:pPr>
              <w:spacing w:after="20" w:line="240" w:lineRule="auto"/>
              <w:jc w:val="left"/>
            </w:pPr>
            <w:r>
              <w:rPr>
                <w:rFonts w:ascii="Aptos" w:hAnsi="Aptos"/>
                <w:b w:val="0"/>
                <w:i w:val="0"/>
                <w:color w:val="000000"/>
                <w:sz w:val="17"/>
              </w:rPr>
            </w:r>
            <w:r>
              <w:rPr>
                <w:rFonts w:ascii="Aptos" w:hAnsi="Aptos"/>
                <w:b w:val="0"/>
                <w:i w:val="0"/>
                <w:color w:val="000000"/>
                <w:sz w:val="17"/>
              </w:rPr>
              <w:t>Kontrolslogošana</w:t>
            </w:r>
          </w:p>
        </w:tc>
        <w:tc>
          <w:tcPr>
            <w:tcW w:type="dxa" w:w="6066"/>
            <w:vAlign w:val="top"/>
            <w:tcMar>
              <w:top w:w="100" w:type="dxa"/>
              <w:start w:w="120" w:type="dxa"/>
              <w:bottom w:w="100" w:type="dxa"/>
              <w:end w:w="120" w:type="dxa"/>
            </w:tcMar>
          </w:tcPr>
          <w:p>
            <w:pPr>
              <w:spacing w:after="20" w:line="240" w:lineRule="auto"/>
            </w:pPr>
            <w:r>
              <w:rPr>
                <w:rFonts w:ascii="Aptos" w:hAnsi="Aptos"/>
                <w:b w:val="0"/>
                <w:i w:val="0"/>
                <w:color w:val="000000"/>
                <w:sz w:val="17"/>
              </w:rPr>
            </w:r>
            <w:r>
              <w:rPr>
                <w:rFonts w:ascii="Aptos" w:hAnsi="Aptos"/>
                <w:b w:val="0"/>
                <w:i w:val="0"/>
                <w:color w:val="000000"/>
                <w:sz w:val="17"/>
              </w:rPr>
              <w:t>Kontrolslogošanu vai citas paaugstināta riska pārbaudes veikt tikai pamatotas nepieciešamības gadījumā un iepriekš rakstiski saskaņojot ar Pasūtītāju.</w:t>
            </w:r>
          </w:p>
        </w:tc>
      </w:tr>
      <w:tr>
        <w:trPr>
          <w:cantSplit/>
        </w:trPr>
        <w:tc>
          <w:tcPr>
            <w:tcW w:type="dxa" w:w="567"/>
            <w:shd w:fill="F4F8FC"/>
            <w:vAlign w:val="top"/>
            <w:tcMar>
              <w:top w:w="100" w:type="dxa"/>
              <w:start w:w="120" w:type="dxa"/>
              <w:bottom w:w="100" w:type="dxa"/>
              <w:end w:w="120" w:type="dxa"/>
            </w:tcMar>
          </w:tcPr>
          <w:p>
            <w:pPr>
              <w:spacing w:after="20" w:line="240" w:lineRule="auto"/>
              <w:jc w:val="center"/>
            </w:pPr>
            <w:r>
              <w:rPr>
                <w:rFonts w:ascii="Aptos" w:hAnsi="Aptos"/>
                <w:b w:val="0"/>
                <w:i w:val="0"/>
                <w:color w:val="000000"/>
                <w:sz w:val="17"/>
              </w:rPr>
            </w:r>
            <w:r>
              <w:rPr>
                <w:rFonts w:ascii="Aptos" w:hAnsi="Aptos"/>
                <w:b w:val="0"/>
                <w:i w:val="0"/>
                <w:color w:val="000000"/>
                <w:sz w:val="17"/>
              </w:rPr>
              <w:t>6.6.</w:t>
            </w:r>
          </w:p>
        </w:tc>
        <w:tc>
          <w:tcPr>
            <w:tcW w:type="dxa" w:w="2438"/>
            <w:shd w:fill="F4F8FC"/>
            <w:vAlign w:val="top"/>
            <w:tcMar>
              <w:top w:w="100" w:type="dxa"/>
              <w:start w:w="120" w:type="dxa"/>
              <w:bottom w:w="100" w:type="dxa"/>
              <w:end w:w="120" w:type="dxa"/>
            </w:tcMar>
          </w:tcPr>
          <w:p>
            <w:pPr>
              <w:spacing w:after="20" w:line="240" w:lineRule="auto"/>
              <w:jc w:val="left"/>
            </w:pPr>
            <w:r>
              <w:rPr>
                <w:rFonts w:ascii="Aptos" w:hAnsi="Aptos"/>
                <w:b w:val="0"/>
                <w:i w:val="0"/>
                <w:color w:val="000000"/>
                <w:sz w:val="17"/>
              </w:rPr>
            </w:r>
            <w:r>
              <w:rPr>
                <w:rFonts w:ascii="Aptos" w:hAnsi="Aptos"/>
                <w:b w:val="0"/>
                <w:i w:val="0"/>
                <w:color w:val="000000"/>
                <w:sz w:val="17"/>
              </w:rPr>
              <w:t>Metožu dokumentēšana</w:t>
            </w:r>
          </w:p>
        </w:tc>
        <w:tc>
          <w:tcPr>
            <w:tcW w:type="dxa" w:w="6066"/>
            <w:shd w:fill="F4F8FC"/>
            <w:vAlign w:val="top"/>
            <w:tcMar>
              <w:top w:w="100" w:type="dxa"/>
              <w:start w:w="120" w:type="dxa"/>
              <w:bottom w:w="100" w:type="dxa"/>
              <w:end w:w="120" w:type="dxa"/>
            </w:tcMar>
          </w:tcPr>
          <w:p>
            <w:pPr>
              <w:spacing w:after="20" w:line="240" w:lineRule="auto"/>
            </w:pPr>
            <w:r>
              <w:rPr>
                <w:rFonts w:ascii="Aptos" w:hAnsi="Aptos"/>
                <w:b w:val="0"/>
                <w:i w:val="0"/>
                <w:color w:val="000000"/>
                <w:sz w:val="17"/>
              </w:rPr>
            </w:r>
            <w:r>
              <w:rPr>
                <w:rFonts w:ascii="Aptos" w:hAnsi="Aptos"/>
                <w:b w:val="0"/>
                <w:i w:val="0"/>
                <w:color w:val="000000"/>
                <w:sz w:val="17"/>
              </w:rPr>
              <w:t>Visas izmantotās metodes, mērījumu vietas, rezultātus un apsekošanas ierobežojumus dokumentēt atzinumā.</w:t>
            </w:r>
          </w:p>
        </w:tc>
      </w:tr>
      <w:tr>
        <w:trPr>
          <w:cantSplit/>
        </w:trPr>
        <w:tc>
          <w:tcPr>
            <w:tcW w:type="dxa" w:w="567"/>
            <w:vAlign w:val="top"/>
            <w:tcMar>
              <w:top w:w="100" w:type="dxa"/>
              <w:start w:w="120" w:type="dxa"/>
              <w:bottom w:w="100" w:type="dxa"/>
              <w:end w:w="120" w:type="dxa"/>
            </w:tcMar>
          </w:tcPr>
          <w:p>
            <w:pPr>
              <w:spacing w:after="20" w:line="240" w:lineRule="auto"/>
              <w:jc w:val="center"/>
            </w:pPr>
            <w:r>
              <w:rPr>
                <w:rFonts w:ascii="Aptos" w:hAnsi="Aptos"/>
                <w:b w:val="0"/>
                <w:i w:val="0"/>
                <w:color w:val="000000"/>
                <w:sz w:val="17"/>
              </w:rPr>
            </w:r>
            <w:r>
              <w:rPr>
                <w:rFonts w:ascii="Aptos" w:hAnsi="Aptos"/>
                <w:b w:val="0"/>
                <w:i w:val="0"/>
                <w:color w:val="000000"/>
                <w:sz w:val="17"/>
              </w:rPr>
              <w:t>7.</w:t>
            </w:r>
          </w:p>
        </w:tc>
        <w:tc>
          <w:tcPr>
            <w:tcW w:type="dxa" w:w="2438"/>
            <w:vAlign w:val="top"/>
            <w:tcMar>
              <w:top w:w="100" w:type="dxa"/>
              <w:start w:w="120" w:type="dxa"/>
              <w:bottom w:w="100" w:type="dxa"/>
              <w:end w:w="120" w:type="dxa"/>
            </w:tcMar>
          </w:tcPr>
          <w:p>
            <w:pPr>
              <w:spacing w:after="20" w:line="240" w:lineRule="auto"/>
              <w:jc w:val="left"/>
            </w:pPr>
            <w:r>
              <w:rPr>
                <w:rFonts w:ascii="Aptos" w:hAnsi="Aptos"/>
                <w:b w:val="0"/>
                <w:i w:val="0"/>
                <w:color w:val="000000"/>
                <w:sz w:val="17"/>
              </w:rPr>
            </w:r>
            <w:r>
              <w:rPr>
                <w:rFonts w:ascii="Aptos" w:hAnsi="Aptos"/>
                <w:b w:val="0"/>
                <w:i w:val="0"/>
                <w:color w:val="000000"/>
                <w:sz w:val="17"/>
              </w:rPr>
              <w:t>Tehnisko noteikumu pieprasīšana</w:t>
            </w:r>
          </w:p>
        </w:tc>
        <w:tc>
          <w:tcPr>
            <w:tcW w:type="dxa" w:w="6066"/>
            <w:vAlign w:val="top"/>
            <w:tcMar>
              <w:top w:w="100" w:type="dxa"/>
              <w:start w:w="120" w:type="dxa"/>
              <w:bottom w:w="100" w:type="dxa"/>
              <w:end w:w="120" w:type="dxa"/>
            </w:tcMar>
          </w:tcPr>
          <w:p>
            <w:pPr>
              <w:spacing w:after="20" w:line="240" w:lineRule="auto"/>
            </w:pPr>
            <w:r>
              <w:rPr>
                <w:rFonts w:ascii="Aptos" w:hAnsi="Aptos"/>
                <w:b w:val="0"/>
                <w:i w:val="0"/>
                <w:color w:val="000000"/>
                <w:sz w:val="17"/>
              </w:rPr>
            </w:r>
            <w:r>
              <w:rPr>
                <w:rFonts w:ascii="Aptos" w:hAnsi="Aptos"/>
                <w:b w:val="0"/>
                <w:i w:val="0"/>
                <w:color w:val="000000"/>
                <w:sz w:val="17"/>
              </w:rPr>
              <w:t>Ja apsekošanas gaitā nepieciešami tehniskie noteikumi vai informācija no atbildīgajām institūcijām, Pretendents tos pieprasa patstāvīgi, izmantojot Būvniecības informācijas sistēmu vai citu noteikto kārtību.</w:t>
            </w:r>
          </w:p>
        </w:tc>
      </w:tr>
      <w:tr>
        <w:trPr>
          <w:cantSplit/>
        </w:trPr>
        <w:tc>
          <w:tcPr>
            <w:tcW w:type="dxa" w:w="567"/>
            <w:shd w:fill="F4F8FC"/>
            <w:vAlign w:val="top"/>
            <w:tcMar>
              <w:top w:w="100" w:type="dxa"/>
              <w:start w:w="120" w:type="dxa"/>
              <w:bottom w:w="100" w:type="dxa"/>
              <w:end w:w="120" w:type="dxa"/>
            </w:tcMar>
          </w:tcPr>
          <w:p>
            <w:pPr>
              <w:spacing w:after="20" w:line="240" w:lineRule="auto"/>
              <w:jc w:val="center"/>
            </w:pPr>
            <w:r>
              <w:rPr>
                <w:rFonts w:ascii="Aptos" w:hAnsi="Aptos"/>
                <w:b w:val="0"/>
                <w:i w:val="0"/>
                <w:color w:val="000000"/>
                <w:sz w:val="17"/>
              </w:rPr>
            </w:r>
            <w:r>
              <w:rPr>
                <w:rFonts w:ascii="Aptos" w:hAnsi="Aptos"/>
                <w:b w:val="0"/>
                <w:i w:val="0"/>
                <w:color w:val="000000"/>
                <w:sz w:val="17"/>
              </w:rPr>
              <w:t>8.</w:t>
            </w:r>
          </w:p>
        </w:tc>
        <w:tc>
          <w:tcPr>
            <w:tcW w:type="dxa" w:w="2438"/>
            <w:shd w:fill="F4F8FC"/>
            <w:vAlign w:val="top"/>
            <w:tcMar>
              <w:top w:w="100" w:type="dxa"/>
              <w:start w:w="120" w:type="dxa"/>
              <w:bottom w:w="100" w:type="dxa"/>
              <w:end w:w="120" w:type="dxa"/>
            </w:tcMar>
          </w:tcPr>
          <w:p>
            <w:pPr>
              <w:spacing w:after="20" w:line="240" w:lineRule="auto"/>
              <w:jc w:val="left"/>
            </w:pPr>
            <w:r>
              <w:rPr>
                <w:rFonts w:ascii="Aptos" w:hAnsi="Aptos"/>
                <w:b w:val="0"/>
                <w:i w:val="0"/>
                <w:color w:val="000000"/>
                <w:sz w:val="17"/>
              </w:rPr>
            </w:r>
            <w:r>
              <w:rPr>
                <w:rFonts w:ascii="Aptos" w:hAnsi="Aptos"/>
                <w:b w:val="0"/>
                <w:i w:val="0"/>
                <w:color w:val="000000"/>
                <w:sz w:val="17"/>
              </w:rPr>
              <w:t>Saskaņojumi</w:t>
            </w:r>
          </w:p>
        </w:tc>
        <w:tc>
          <w:tcPr>
            <w:tcW w:type="dxa" w:w="6066"/>
            <w:shd w:fill="F4F8FC"/>
            <w:vAlign w:val="top"/>
            <w:tcMar>
              <w:top w:w="100" w:type="dxa"/>
              <w:start w:w="120" w:type="dxa"/>
              <w:bottom w:w="100" w:type="dxa"/>
              <w:end w:w="120" w:type="dxa"/>
            </w:tcMar>
          </w:tcPr>
          <w:p>
            <w:pPr>
              <w:spacing w:after="20" w:line="240" w:lineRule="auto"/>
            </w:pPr>
            <w:r>
              <w:rPr>
                <w:rFonts w:ascii="Aptos" w:hAnsi="Aptos"/>
                <w:b w:val="0"/>
                <w:i w:val="0"/>
                <w:color w:val="000000"/>
                <w:sz w:val="17"/>
              </w:rPr>
            </w:r>
            <w:r>
              <w:rPr>
                <w:rFonts w:ascii="Aptos" w:hAnsi="Aptos"/>
                <w:b w:val="0"/>
                <w:i w:val="0"/>
                <w:color w:val="000000"/>
                <w:sz w:val="17"/>
              </w:rPr>
              <w:t>Apsekošanas gaitu un tehniskās apsekošanas atzinumu nepieciešamajā apjomā saskaņot ar SIA “Komunālserviss TILDe” speciālistiem, atbildīgajām institūcijām un trešajām personām, tostarp dzīvokļu īpašniekiem, kuru tiesības vai īpašums var tikt skarts. Saskaņošana neatbrīvo Pretendentu un iesaistītos būvspeciālistus no atbildības par profesionāli pamatotu atzinumu.</w:t>
            </w:r>
          </w:p>
        </w:tc>
      </w:tr>
      <w:tr>
        <w:trPr>
          <w:cantSplit/>
        </w:trPr>
        <w:tc>
          <w:tcPr>
            <w:tcW w:type="dxa" w:w="567"/>
            <w:vAlign w:val="top"/>
            <w:tcMar>
              <w:top w:w="100" w:type="dxa"/>
              <w:start w:w="120" w:type="dxa"/>
              <w:bottom w:w="100" w:type="dxa"/>
              <w:end w:w="120" w:type="dxa"/>
            </w:tcMar>
          </w:tcPr>
          <w:p>
            <w:pPr>
              <w:spacing w:after="20" w:line="240" w:lineRule="auto"/>
              <w:jc w:val="center"/>
            </w:pPr>
            <w:r>
              <w:rPr>
                <w:rFonts w:ascii="Aptos" w:hAnsi="Aptos"/>
                <w:b w:val="0"/>
                <w:i w:val="0"/>
                <w:color w:val="000000"/>
                <w:sz w:val="17"/>
              </w:rPr>
            </w:r>
            <w:r>
              <w:rPr>
                <w:rFonts w:ascii="Aptos" w:hAnsi="Aptos"/>
                <w:b w:val="0"/>
                <w:i w:val="0"/>
                <w:color w:val="000000"/>
                <w:sz w:val="17"/>
              </w:rPr>
              <w:t>9.1.</w:t>
            </w:r>
          </w:p>
        </w:tc>
        <w:tc>
          <w:tcPr>
            <w:tcW w:type="dxa" w:w="2438"/>
            <w:vAlign w:val="top"/>
            <w:tcMar>
              <w:top w:w="100" w:type="dxa"/>
              <w:start w:w="120" w:type="dxa"/>
              <w:bottom w:w="100" w:type="dxa"/>
              <w:end w:w="120" w:type="dxa"/>
            </w:tcMar>
          </w:tcPr>
          <w:p>
            <w:pPr>
              <w:spacing w:after="20" w:line="240" w:lineRule="auto"/>
              <w:jc w:val="left"/>
            </w:pPr>
            <w:r>
              <w:rPr>
                <w:rFonts w:ascii="Aptos" w:hAnsi="Aptos"/>
                <w:b w:val="0"/>
                <w:i w:val="0"/>
                <w:color w:val="000000"/>
                <w:sz w:val="17"/>
              </w:rPr>
            </w:r>
            <w:r>
              <w:rPr>
                <w:rFonts w:ascii="Aptos" w:hAnsi="Aptos"/>
                <w:b w:val="0"/>
                <w:i w:val="0"/>
                <w:color w:val="000000"/>
                <w:sz w:val="17"/>
              </w:rPr>
              <w:t>Atzinuma detalizācijas pakāpe</w:t>
            </w:r>
          </w:p>
        </w:tc>
        <w:tc>
          <w:tcPr>
            <w:tcW w:type="dxa" w:w="6066"/>
            <w:vAlign w:val="top"/>
            <w:tcMar>
              <w:top w:w="100" w:type="dxa"/>
              <w:start w:w="120" w:type="dxa"/>
              <w:bottom w:w="100" w:type="dxa"/>
              <w:end w:w="120" w:type="dxa"/>
            </w:tcMar>
          </w:tcPr>
          <w:p>
            <w:pPr>
              <w:spacing w:after="20" w:line="240" w:lineRule="auto"/>
            </w:pPr>
            <w:r>
              <w:rPr>
                <w:rFonts w:ascii="Aptos" w:hAnsi="Aptos"/>
                <w:b w:val="0"/>
                <w:i w:val="0"/>
                <w:color w:val="000000"/>
                <w:sz w:val="17"/>
              </w:rPr>
            </w:r>
            <w:r>
              <w:rPr>
                <w:rFonts w:ascii="Aptos" w:hAnsi="Aptos"/>
                <w:b w:val="0"/>
                <w:i w:val="0"/>
                <w:color w:val="000000"/>
                <w:sz w:val="17"/>
              </w:rPr>
              <w:t>Atzinumu izstrādāt tādā detalizācijas pakāpē, lai, pamatojoties uz to, varētu nepārprotami plānot un pasūtīt nepieciešamos uzturēšanas, remonta, atjaunošanas, pārbūves vai būvniecības ieceres dokumentācijas darbus.</w:t>
            </w:r>
          </w:p>
        </w:tc>
      </w:tr>
      <w:tr>
        <w:trPr>
          <w:cantSplit/>
        </w:trPr>
        <w:tc>
          <w:tcPr>
            <w:tcW w:type="dxa" w:w="567"/>
            <w:shd w:fill="F4F8FC"/>
            <w:vAlign w:val="top"/>
            <w:tcMar>
              <w:top w:w="100" w:type="dxa"/>
              <w:start w:w="120" w:type="dxa"/>
              <w:bottom w:w="100" w:type="dxa"/>
              <w:end w:w="120" w:type="dxa"/>
            </w:tcMar>
          </w:tcPr>
          <w:p>
            <w:pPr>
              <w:spacing w:after="20" w:line="240" w:lineRule="auto"/>
              <w:jc w:val="center"/>
            </w:pPr>
            <w:r>
              <w:rPr>
                <w:rFonts w:ascii="Aptos" w:hAnsi="Aptos"/>
                <w:b w:val="0"/>
                <w:i w:val="0"/>
                <w:color w:val="000000"/>
                <w:sz w:val="17"/>
              </w:rPr>
            </w:r>
            <w:r>
              <w:rPr>
                <w:rFonts w:ascii="Aptos" w:hAnsi="Aptos"/>
                <w:b w:val="0"/>
                <w:i w:val="0"/>
                <w:color w:val="000000"/>
                <w:sz w:val="17"/>
              </w:rPr>
              <w:t>9.2.</w:t>
            </w:r>
          </w:p>
        </w:tc>
        <w:tc>
          <w:tcPr>
            <w:tcW w:type="dxa" w:w="2438"/>
            <w:shd w:fill="F4F8FC"/>
            <w:vAlign w:val="top"/>
            <w:tcMar>
              <w:top w:w="100" w:type="dxa"/>
              <w:start w:w="120" w:type="dxa"/>
              <w:bottom w:w="100" w:type="dxa"/>
              <w:end w:w="120" w:type="dxa"/>
            </w:tcMar>
          </w:tcPr>
          <w:p>
            <w:pPr>
              <w:spacing w:after="20" w:line="240" w:lineRule="auto"/>
              <w:jc w:val="left"/>
            </w:pPr>
            <w:r>
              <w:rPr>
                <w:rFonts w:ascii="Aptos" w:hAnsi="Aptos"/>
                <w:b w:val="0"/>
                <w:i w:val="0"/>
                <w:color w:val="000000"/>
                <w:sz w:val="17"/>
              </w:rPr>
            </w:r>
            <w:r>
              <w:rPr>
                <w:rFonts w:ascii="Aptos" w:hAnsi="Aptos"/>
                <w:b w:val="0"/>
                <w:i w:val="0"/>
                <w:color w:val="000000"/>
                <w:sz w:val="17"/>
              </w:rPr>
              <w:t>Uzdevuma precizēšana</w:t>
            </w:r>
          </w:p>
        </w:tc>
        <w:tc>
          <w:tcPr>
            <w:tcW w:type="dxa" w:w="6066"/>
            <w:shd w:fill="F4F8FC"/>
            <w:vAlign w:val="top"/>
            <w:tcMar>
              <w:top w:w="100" w:type="dxa"/>
              <w:start w:w="120" w:type="dxa"/>
              <w:bottom w:w="100" w:type="dxa"/>
              <w:end w:w="120" w:type="dxa"/>
            </w:tcMar>
          </w:tcPr>
          <w:p>
            <w:pPr>
              <w:spacing w:after="20" w:line="240" w:lineRule="auto"/>
            </w:pPr>
            <w:r>
              <w:rPr>
                <w:rFonts w:ascii="Aptos" w:hAnsi="Aptos"/>
                <w:b w:val="0"/>
                <w:i w:val="0"/>
                <w:color w:val="000000"/>
                <w:sz w:val="17"/>
              </w:rPr>
            </w:r>
            <w:r>
              <w:rPr>
                <w:rFonts w:ascii="Aptos" w:hAnsi="Aptos"/>
                <w:b w:val="0"/>
                <w:i w:val="0"/>
                <w:color w:val="000000"/>
                <w:sz w:val="17"/>
              </w:rPr>
              <w:t>Apsekošanas uzdevumu darbu gaitā drīkst precizēt tikai pēc saskaņošanas ar Pasūtītāju.</w:t>
            </w:r>
          </w:p>
        </w:tc>
      </w:tr>
      <w:tr>
        <w:trPr>
          <w:cantSplit/>
        </w:trPr>
        <w:tc>
          <w:tcPr>
            <w:tcW w:type="dxa" w:w="567"/>
            <w:vAlign w:val="top"/>
            <w:tcMar>
              <w:top w:w="100" w:type="dxa"/>
              <w:start w:w="120" w:type="dxa"/>
              <w:bottom w:w="100" w:type="dxa"/>
              <w:end w:w="120" w:type="dxa"/>
            </w:tcMar>
          </w:tcPr>
          <w:p>
            <w:pPr>
              <w:spacing w:after="20" w:line="240" w:lineRule="auto"/>
              <w:jc w:val="center"/>
            </w:pPr>
            <w:r>
              <w:rPr>
                <w:rFonts w:ascii="Aptos" w:hAnsi="Aptos"/>
                <w:b w:val="0"/>
                <w:i w:val="0"/>
                <w:color w:val="000000"/>
                <w:sz w:val="17"/>
              </w:rPr>
            </w:r>
            <w:r>
              <w:rPr>
                <w:rFonts w:ascii="Aptos" w:hAnsi="Aptos"/>
                <w:b w:val="0"/>
                <w:i w:val="0"/>
                <w:color w:val="000000"/>
                <w:sz w:val="17"/>
              </w:rPr>
              <w:t>9.3.</w:t>
            </w:r>
          </w:p>
        </w:tc>
        <w:tc>
          <w:tcPr>
            <w:tcW w:type="dxa" w:w="2438"/>
            <w:vAlign w:val="top"/>
            <w:tcMar>
              <w:top w:w="100" w:type="dxa"/>
              <w:start w:w="120" w:type="dxa"/>
              <w:bottom w:w="100" w:type="dxa"/>
              <w:end w:w="120" w:type="dxa"/>
            </w:tcMar>
          </w:tcPr>
          <w:p>
            <w:pPr>
              <w:spacing w:after="20" w:line="240" w:lineRule="auto"/>
              <w:jc w:val="left"/>
            </w:pPr>
            <w:r>
              <w:rPr>
                <w:rFonts w:ascii="Aptos" w:hAnsi="Aptos"/>
                <w:b w:val="0"/>
                <w:i w:val="0"/>
                <w:color w:val="000000"/>
                <w:sz w:val="17"/>
              </w:rPr>
            </w:r>
            <w:r>
              <w:rPr>
                <w:rFonts w:ascii="Aptos" w:hAnsi="Aptos"/>
                <w:b w:val="0"/>
                <w:i w:val="0"/>
                <w:color w:val="000000"/>
                <w:sz w:val="17"/>
              </w:rPr>
              <w:t>Piedāvājuma cenas tvērums</w:t>
            </w:r>
          </w:p>
        </w:tc>
        <w:tc>
          <w:tcPr>
            <w:tcW w:type="dxa" w:w="6066"/>
            <w:vAlign w:val="top"/>
            <w:tcMar>
              <w:top w:w="100" w:type="dxa"/>
              <w:start w:w="120" w:type="dxa"/>
              <w:bottom w:w="100" w:type="dxa"/>
              <w:end w:w="120" w:type="dxa"/>
            </w:tcMar>
          </w:tcPr>
          <w:p>
            <w:pPr>
              <w:spacing w:after="20" w:line="240" w:lineRule="auto"/>
            </w:pPr>
            <w:r>
              <w:rPr>
                <w:rFonts w:ascii="Aptos" w:hAnsi="Aptos"/>
                <w:b w:val="0"/>
                <w:i w:val="0"/>
                <w:color w:val="000000"/>
                <w:sz w:val="17"/>
              </w:rPr>
            </w:r>
            <w:r>
              <w:rPr>
                <w:rFonts w:ascii="Aptos" w:hAnsi="Aptos"/>
                <w:b w:val="0"/>
                <w:i w:val="0"/>
                <w:color w:val="000000"/>
                <w:sz w:val="17"/>
              </w:rPr>
              <w:t>Piedāvājuma cenā jāiekļauj visi apsekošanas, mērījumu, izpētes, dokumentēšanas un citi profesionāli paredzamie darbi, kas nepieciešami pilnvērtīga atzinuma sagatavošanai, arī tad, ja tie nav atsevišķi uzskaitīti. Papildu samaksa par piedāvājumā neiekļautiem, bet uzdevuma izpildei nepieciešamiem darbiem netiks atzīta.</w:t>
            </w:r>
          </w:p>
        </w:tc>
      </w:tr>
      <w:tr>
        <w:trPr>
          <w:cantSplit/>
        </w:trPr>
        <w:tc>
          <w:tcPr>
            <w:tcW w:type="dxa" w:w="567"/>
            <w:shd w:fill="F4F8FC"/>
            <w:vAlign w:val="top"/>
            <w:tcMar>
              <w:top w:w="100" w:type="dxa"/>
              <w:start w:w="120" w:type="dxa"/>
              <w:bottom w:w="100" w:type="dxa"/>
              <w:end w:w="120" w:type="dxa"/>
            </w:tcMar>
          </w:tcPr>
          <w:p>
            <w:pPr>
              <w:spacing w:after="20" w:line="240" w:lineRule="auto"/>
              <w:jc w:val="center"/>
            </w:pPr>
            <w:r>
              <w:rPr>
                <w:rFonts w:ascii="Aptos" w:hAnsi="Aptos"/>
                <w:b w:val="0"/>
                <w:i w:val="0"/>
                <w:color w:val="000000"/>
                <w:sz w:val="17"/>
              </w:rPr>
            </w:r>
            <w:r>
              <w:rPr>
                <w:rFonts w:ascii="Aptos" w:hAnsi="Aptos"/>
                <w:b w:val="0"/>
                <w:i w:val="0"/>
                <w:color w:val="000000"/>
                <w:sz w:val="17"/>
              </w:rPr>
              <w:t>9.4.</w:t>
            </w:r>
          </w:p>
        </w:tc>
        <w:tc>
          <w:tcPr>
            <w:tcW w:type="dxa" w:w="2438"/>
            <w:shd w:fill="F4F8FC"/>
            <w:vAlign w:val="top"/>
            <w:tcMar>
              <w:top w:w="100" w:type="dxa"/>
              <w:start w:w="120" w:type="dxa"/>
              <w:bottom w:w="100" w:type="dxa"/>
              <w:end w:w="120" w:type="dxa"/>
            </w:tcMar>
          </w:tcPr>
          <w:p>
            <w:pPr>
              <w:spacing w:after="20" w:line="240" w:lineRule="auto"/>
              <w:jc w:val="left"/>
            </w:pPr>
            <w:r>
              <w:rPr>
                <w:rFonts w:ascii="Aptos" w:hAnsi="Aptos"/>
                <w:b w:val="0"/>
                <w:i w:val="0"/>
                <w:color w:val="000000"/>
                <w:sz w:val="17"/>
              </w:rPr>
            </w:r>
            <w:r>
              <w:rPr>
                <w:rFonts w:ascii="Aptos" w:hAnsi="Aptos"/>
                <w:b w:val="0"/>
                <w:i w:val="0"/>
                <w:color w:val="000000"/>
                <w:sz w:val="17"/>
              </w:rPr>
              <w:t>Objekta apmeklējums</w:t>
            </w:r>
          </w:p>
        </w:tc>
        <w:tc>
          <w:tcPr>
            <w:tcW w:type="dxa" w:w="6066"/>
            <w:shd w:fill="F4F8FC"/>
            <w:vAlign w:val="top"/>
            <w:tcMar>
              <w:top w:w="100" w:type="dxa"/>
              <w:start w:w="120" w:type="dxa"/>
              <w:bottom w:w="100" w:type="dxa"/>
              <w:end w:w="120" w:type="dxa"/>
            </w:tcMar>
          </w:tcPr>
          <w:p>
            <w:pPr>
              <w:spacing w:after="20" w:line="240" w:lineRule="auto"/>
            </w:pPr>
            <w:r>
              <w:rPr>
                <w:rFonts w:ascii="Aptos" w:hAnsi="Aptos"/>
                <w:b w:val="0"/>
                <w:i w:val="0"/>
                <w:color w:val="000000"/>
                <w:sz w:val="17"/>
              </w:rPr>
            </w:r>
            <w:r>
              <w:rPr>
                <w:rFonts w:ascii="Aptos" w:hAnsi="Aptos"/>
                <w:b w:val="0"/>
                <w:i w:val="0"/>
                <w:color w:val="000000"/>
                <w:sz w:val="17"/>
              </w:rPr>
              <w:t>Pirms finanšu piedāvājuma sagatavošanas Pretendentam ieteicams apmeklēt objektu un veikt tā vizuālo novērtēšanu. Iebildumi par apstākļiem, kurus bija iespējams konstatēt pirms piedāvājuma iesniegšanas, pēc līguma noslēgšanas netiks atzīti par pamatu līgumcenas palielināšanai.</w:t>
            </w:r>
          </w:p>
        </w:tc>
      </w:tr>
      <w:tr>
        <w:trPr>
          <w:cantSplit/>
        </w:trPr>
        <w:tc>
          <w:tcPr>
            <w:tcW w:type="dxa" w:w="567"/>
            <w:vAlign w:val="top"/>
            <w:tcMar>
              <w:top w:w="100" w:type="dxa"/>
              <w:start w:w="120" w:type="dxa"/>
              <w:bottom w:w="100" w:type="dxa"/>
              <w:end w:w="120" w:type="dxa"/>
            </w:tcMar>
          </w:tcPr>
          <w:p>
            <w:pPr>
              <w:spacing w:after="20" w:line="240" w:lineRule="auto"/>
              <w:jc w:val="center"/>
            </w:pPr>
            <w:r>
              <w:rPr>
                <w:rFonts w:ascii="Aptos" w:hAnsi="Aptos"/>
                <w:b w:val="0"/>
                <w:i w:val="0"/>
                <w:color w:val="000000"/>
                <w:sz w:val="17"/>
              </w:rPr>
            </w:r>
            <w:r>
              <w:rPr>
                <w:rFonts w:ascii="Aptos" w:hAnsi="Aptos"/>
                <w:b w:val="0"/>
                <w:i w:val="0"/>
                <w:color w:val="000000"/>
                <w:sz w:val="17"/>
              </w:rPr>
              <w:t>9.5.</w:t>
            </w:r>
          </w:p>
        </w:tc>
        <w:tc>
          <w:tcPr>
            <w:tcW w:type="dxa" w:w="2438"/>
            <w:vAlign w:val="top"/>
            <w:tcMar>
              <w:top w:w="100" w:type="dxa"/>
              <w:start w:w="120" w:type="dxa"/>
              <w:bottom w:w="100" w:type="dxa"/>
              <w:end w:w="120" w:type="dxa"/>
            </w:tcMar>
          </w:tcPr>
          <w:p>
            <w:pPr>
              <w:spacing w:after="20" w:line="240" w:lineRule="auto"/>
              <w:jc w:val="left"/>
            </w:pPr>
            <w:r>
              <w:rPr>
                <w:rFonts w:ascii="Aptos" w:hAnsi="Aptos"/>
                <w:b w:val="0"/>
                <w:i w:val="0"/>
                <w:color w:val="000000"/>
                <w:sz w:val="17"/>
              </w:rPr>
            </w:r>
            <w:r>
              <w:rPr>
                <w:rFonts w:ascii="Aptos" w:hAnsi="Aptos"/>
                <w:b w:val="0"/>
                <w:i w:val="0"/>
                <w:color w:val="000000"/>
                <w:sz w:val="17"/>
              </w:rPr>
              <w:t>Resursi un piekļuve</w:t>
            </w:r>
          </w:p>
        </w:tc>
        <w:tc>
          <w:tcPr>
            <w:tcW w:type="dxa" w:w="6066"/>
            <w:vAlign w:val="top"/>
            <w:tcMar>
              <w:top w:w="100" w:type="dxa"/>
              <w:start w:w="120" w:type="dxa"/>
              <w:bottom w:w="100" w:type="dxa"/>
              <w:end w:w="120" w:type="dxa"/>
            </w:tcMar>
          </w:tcPr>
          <w:p>
            <w:pPr>
              <w:spacing w:after="20" w:line="240" w:lineRule="auto"/>
            </w:pPr>
            <w:r>
              <w:rPr>
                <w:rFonts w:ascii="Aptos" w:hAnsi="Aptos"/>
                <w:b w:val="0"/>
                <w:i w:val="0"/>
                <w:color w:val="000000"/>
                <w:sz w:val="17"/>
              </w:rPr>
            </w:r>
            <w:r>
              <w:rPr>
                <w:rFonts w:ascii="Aptos" w:hAnsi="Aptos"/>
                <w:b w:val="0"/>
                <w:i w:val="0"/>
                <w:color w:val="000000"/>
                <w:sz w:val="17"/>
              </w:rPr>
              <w:t>Pretendents ēkas apsekošanu veic par saviem līdzekļiem un nodrošina nepieciešamos instrumentus, iekārtas, individuālos aizsardzības līdzekļus, pacelšanas mehānismus un citus resursus. Piekļuvi ēkas koplietošanas telpām un konstrukcijām, kā arī savas kompetences ietvaros dzīvokļiem nodrošina Pasūtītājs, iepriekš saskaņojot laiku ar iesaistītajām personām. Pretendents savlaicīgi informē Pasūtītāju par nepieciešamo piekļuvi, atsegumiem vai citiem sagatavošanas darbiem.</w:t>
            </w:r>
          </w:p>
        </w:tc>
      </w:tr>
      <w:tr>
        <w:trPr>
          <w:cantSplit/>
        </w:trPr>
        <w:tc>
          <w:tcPr>
            <w:tcW w:type="dxa" w:w="567"/>
            <w:shd w:fill="F4F8FC"/>
            <w:vAlign w:val="top"/>
            <w:tcMar>
              <w:top w:w="100" w:type="dxa"/>
              <w:start w:w="120" w:type="dxa"/>
              <w:bottom w:w="100" w:type="dxa"/>
              <w:end w:w="120" w:type="dxa"/>
            </w:tcMar>
          </w:tcPr>
          <w:p>
            <w:pPr>
              <w:spacing w:after="20" w:line="240" w:lineRule="auto"/>
              <w:jc w:val="center"/>
            </w:pPr>
            <w:r>
              <w:rPr>
                <w:rFonts w:ascii="Aptos" w:hAnsi="Aptos"/>
                <w:b w:val="0"/>
                <w:i w:val="0"/>
                <w:color w:val="000000"/>
                <w:sz w:val="17"/>
              </w:rPr>
            </w:r>
            <w:r>
              <w:rPr>
                <w:rFonts w:ascii="Aptos" w:hAnsi="Aptos"/>
                <w:b w:val="0"/>
                <w:i w:val="0"/>
                <w:color w:val="000000"/>
                <w:sz w:val="17"/>
              </w:rPr>
              <w:t>10.</w:t>
            </w:r>
          </w:p>
        </w:tc>
        <w:tc>
          <w:tcPr>
            <w:tcW w:type="dxa" w:w="2438"/>
            <w:shd w:fill="F4F8FC"/>
            <w:vAlign w:val="top"/>
            <w:tcMar>
              <w:top w:w="100" w:type="dxa"/>
              <w:start w:w="120" w:type="dxa"/>
              <w:bottom w:w="100" w:type="dxa"/>
              <w:end w:w="120" w:type="dxa"/>
            </w:tcMar>
          </w:tcPr>
          <w:p>
            <w:pPr>
              <w:spacing w:after="20" w:line="240" w:lineRule="auto"/>
              <w:jc w:val="left"/>
            </w:pPr>
            <w:r>
              <w:rPr>
                <w:rFonts w:ascii="Aptos" w:hAnsi="Aptos"/>
                <w:b w:val="0"/>
                <w:i w:val="0"/>
                <w:color w:val="000000"/>
                <w:sz w:val="17"/>
              </w:rPr>
            </w:r>
            <w:r>
              <w:rPr>
                <w:rFonts w:ascii="Aptos" w:hAnsi="Aptos"/>
                <w:b w:val="0"/>
                <w:i w:val="0"/>
                <w:color w:val="000000"/>
                <w:sz w:val="17"/>
              </w:rPr>
              <w:t>Atzinuma nodošana</w:t>
            </w:r>
          </w:p>
        </w:tc>
        <w:tc>
          <w:tcPr>
            <w:tcW w:type="dxa" w:w="6066"/>
            <w:shd w:fill="F4F8FC"/>
            <w:vAlign w:val="top"/>
            <w:tcMar>
              <w:top w:w="100" w:type="dxa"/>
              <w:start w:w="120" w:type="dxa"/>
              <w:bottom w:w="100" w:type="dxa"/>
              <w:end w:w="120" w:type="dxa"/>
            </w:tcMar>
          </w:tcPr>
          <w:p>
            <w:pPr>
              <w:spacing w:after="20" w:line="240" w:lineRule="auto"/>
            </w:pPr>
            <w:r>
              <w:rPr>
                <w:rFonts w:ascii="Aptos" w:hAnsi="Aptos"/>
                <w:b w:val="0"/>
                <w:i w:val="0"/>
                <w:color w:val="000000"/>
                <w:sz w:val="17"/>
              </w:rPr>
            </w:r>
            <w:r>
              <w:rPr>
                <w:rFonts w:ascii="Aptos" w:hAnsi="Aptos"/>
                <w:b w:val="0"/>
                <w:i w:val="0"/>
                <w:color w:val="000000"/>
                <w:sz w:val="17"/>
              </w:rPr>
              <w:t>Atzinumu sagatavot un reģistrēt Būvniecības informācijas sistēmā, ja to paredz normatīvie akti.</w:t>
            </w:r>
          </w:p>
          <w:p>
            <w:pPr>
              <w:spacing w:after="20" w:line="240" w:lineRule="auto"/>
            </w:pPr>
            <w:r>
              <w:rPr>
                <w:rFonts w:ascii="Aptos" w:hAnsi="Aptos"/>
                <w:b w:val="0"/>
                <w:i w:val="0"/>
                <w:color w:val="000000"/>
                <w:sz w:val="17"/>
              </w:rPr>
              <w:t>Pasūtītājam iesniegt divus parakstītus izdrukātus eksemplārus.</w:t>
            </w:r>
          </w:p>
          <w:p>
            <w:pPr>
              <w:spacing w:after="20" w:line="240" w:lineRule="auto"/>
            </w:pPr>
            <w:r>
              <w:rPr>
                <w:rFonts w:ascii="Aptos" w:hAnsi="Aptos"/>
                <w:b w:val="0"/>
                <w:i w:val="0"/>
                <w:color w:val="000000"/>
                <w:sz w:val="17"/>
              </w:rPr>
              <w:t>Atzinumu ar visiem pielikumiem iesniegt arī PDF un DOCX formātā, nosūtot uz info@ktilde.lv vai nododot elektroniskā datu nesējā.</w:t>
            </w:r>
          </w:p>
        </w:tc>
      </w:tr>
    </w:tbl>
    <w:tbl>
      <w:tblPr>
        <w:tblW w:type="auto" w:w="0"/>
        <w:jc w:val="center"/>
        <w:tblLayout w:type="fixed"/>
        <w:tblLook w:firstColumn="1" w:firstRow="1" w:lastColumn="0" w:lastRow="0" w:noHBand="0" w:noVBand="1" w:val="04A0"/>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Pr>
      <w:tblGrid>
        <w:gridCol w:w="9071"/>
      </w:tblGrid>
      <w:tr>
        <w:tc>
          <w:tcPr>
            <w:tcW w:type="dxa" w:w="9072"/>
            <w:tcMar>
              <w:top w:w="130" w:type="dxa"/>
              <w:start w:w="120" w:type="dxa"/>
              <w:bottom w:w="130" w:type="dxa"/>
              <w:end w:w="120" w:type="dxa"/>
            </w:tcMar>
          </w:tcPr>
          <w:p>
            <w:pPr>
              <w:spacing w:after="20"/>
              <w:jc w:val="left"/>
            </w:pPr>
            <w:r/>
            <w:r>
              <w:rPr>
                <w:rFonts w:ascii="Aptos" w:hAnsi="Aptos"/>
                <w:b w:val="0"/>
                <w:i w:val="0"/>
                <w:color w:val="000000"/>
                <w:sz w:val="18"/>
              </w:rPr>
              <w:t>Datums: ____________________________________________________________________________</w:t>
            </w:r>
          </w:p>
        </w:tc>
      </w:tr>
      <w:tr>
        <w:tc>
          <w:tcPr>
            <w:tcW w:type="dxa" w:w="9072"/>
            <w:tcMar>
              <w:top w:w="130" w:type="dxa"/>
              <w:start w:w="120" w:type="dxa"/>
              <w:bottom w:w="130" w:type="dxa"/>
              <w:end w:w="120" w:type="dxa"/>
            </w:tcMar>
          </w:tcPr>
          <w:p>
            <w:pPr>
              <w:spacing w:after="20"/>
              <w:jc w:val="left"/>
            </w:pPr>
            <w:r/>
            <w:r>
              <w:rPr>
                <w:rFonts w:ascii="Aptos" w:hAnsi="Aptos"/>
                <w:b w:val="0"/>
                <w:i w:val="0"/>
                <w:color w:val="000000"/>
                <w:sz w:val="18"/>
              </w:rPr>
              <w:t>Pretendenta pārstāvja paraksts: _______________________________________________________</w:t>
            </w:r>
          </w:p>
        </w:tc>
      </w:tr>
      <w:tr>
        <w:tc>
          <w:tcPr>
            <w:tcW w:type="dxa" w:w="9072"/>
            <w:tcMar>
              <w:top w:w="130" w:type="dxa"/>
              <w:start w:w="120" w:type="dxa"/>
              <w:bottom w:w="130" w:type="dxa"/>
              <w:end w:w="120" w:type="dxa"/>
            </w:tcMar>
          </w:tcPr>
          <w:p>
            <w:pPr>
              <w:spacing w:after="20"/>
              <w:jc w:val="left"/>
            </w:pPr>
            <w:r/>
            <w:r>
              <w:rPr>
                <w:rFonts w:ascii="Aptos" w:hAnsi="Aptos"/>
                <w:b w:val="0"/>
                <w:i w:val="0"/>
                <w:color w:val="000000"/>
                <w:sz w:val="18"/>
              </w:rPr>
              <w:t>Pretendenta pārstāvja amats, vārds un uzvārds: ________________________________________</w:t>
            </w:r>
          </w:p>
        </w:tc>
      </w:tr>
    </w:tbl>
    <w:sectPr>
      <w:pgSz w:h="16838" w:w="11906" w:orient="portrait"/>
      <w:pgMar w:bottom="1134" w:top="1247" w:left="1417" w:right="1417" w:header="567" w:footer="567"/>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 w:name="Courier New"/>
  <w:font w:name="Noto Sans Symbols">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4">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lv"/>
      </w:rPr>
    </w:rPrDefault>
    <w:pPrDefault>
      <w:pPr>
        <w:spacing w:after="160" w:line="254"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pPr>
      <w:widowControl/>
      <w:spacing w:after="80" w:line="259" w:lineRule="auto"/>
    </w:pPr>
    <w:rPr>
      <w:rFonts w:ascii="Aptos" w:hAnsi="Aptos"/>
      <w:color w:val="000000"/>
      <w:sz w:val="20"/>
    </w:rPr>
  </w:style>
  <w:style w:type="paragraph" w:styleId="Heading1">
    <w:name w:val="heading 1"/>
    <w:basedOn w:val="Normal"/>
    <w:next w:val="Normal"/>
    <w:pPr>
      <w:keepNext/>
      <w:keepLines w:val="1"/>
      <w:pageBreakBefore w:val="0"/>
      <w:spacing w:after="80" w:before="200" w:lineRule="auto"/>
    </w:pPr>
    <w:rPr>
      <w:rFonts w:ascii="Aptos" w:hAnsi="Aptos"/>
      <w:b/>
      <w:bCs w:val="1"/>
      <w:color w:val="000000"/>
      <w:sz w:val="22"/>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keepLines w:val="1"/>
      <w:pageBreakBefore w:val="0"/>
      <w:spacing w:after="160" w:before="480" w:lineRule="auto"/>
      <w:jc w:val="center"/>
    </w:pPr>
    <w:rPr>
      <w:rFonts w:ascii="Aptos Display" w:hAnsi="Aptos Display"/>
      <w:b/>
      <w:bCs w:val="1"/>
      <w:color w:val="000000"/>
      <w:sz w:val="3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paragraph" w:customStyle="1" w:styleId="ListBullet">
    <w:name w:val="List Bullet"/>
    <w:basedOn w:val="Normal"/>
    <w:pPr>
      <w:ind w:left="369" w:hanging="198"/>
    </w:pPr>
    <w:rPr>
      <w:rFonts w:ascii="Aptos" w:hAnsi="Aptos"/>
      <w:sz w:val="20"/>
    </w:rPr>
  </w:style>
  <w:style w:type="paragraph" w:customStyle="1" w:styleId="ListBullet2">
    <w:name w:val="List Bullet 2"/>
    <w:basedOn w:val="Normal"/>
    <w:pPr>
      <w:ind w:left="709" w:hanging="198"/>
    </w:pPr>
    <w:rPr>
      <w:rFonts w:ascii="Aptos" w:hAnsi="Aptos"/>
      <w:sz w:val="20"/>
    </w:rPr>
  </w:style>
  <w:style w:type="paragraph" w:customStyle="1" w:styleId="ListNumber">
    <w:name w:val="List Number"/>
    <w:basedOn w:val="Normal"/>
    <w:pPr>
      <w:ind w:left="369" w:hanging="198"/>
    </w:pPr>
    <w:rPr>
      <w:rFonts w:ascii="Aptos" w:hAnsi="Aptos"/>
      <w:sz w:val="2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mailto:info@ktilde.lv"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mFuerXTyUfhpNcQiCIhNa1WhaxA==">CgMxLjAyDmgua2Q1N2czdTR5NmlwOAByITFoX0xSX3h3dkJWY3dqZm4yUF9DQXU4S0c2Ym5sQlVvdQ==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