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“Svīres”, Irlavā</w:t>
            </w:r>
            <w:hyperlink r:id="rId7">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“Svīres”, Irlavā</w:t>
            </w:r>
            <w:hyperlink r:id="rId8">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rtl w:val="0"/>
              </w:rPr>
              <w:t xml:space="preserve">, Tukuma novads, LV-3137.</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mājā </w:t>
            </w:r>
            <w:r w:rsidDel="00000000" w:rsidR="00000000" w:rsidRPr="00000000">
              <w:rPr>
                <w:rFonts w:ascii="Times New Roman" w:cs="Times New Roman" w:eastAsia="Times New Roman" w:hAnsi="Times New Roman"/>
                <w:sz w:val="24"/>
                <w:szCs w:val="24"/>
                <w:rtl w:val="0"/>
              </w:rPr>
              <w:t xml:space="preserve">“Svīres”, Irlavā</w:t>
            </w:r>
            <w:hyperlink r:id="rId9">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rtl w:val="0"/>
              </w:rPr>
              <w:t xml:space="preserve">, Tukuma novadā, (kadastra apzīmējums 90540020200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kopējā platība: 1000,8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bCs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10">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ktilde.lv" TargetMode="External"/><Relationship Id="rId9" Type="http://schemas.openxmlformats.org/officeDocument/2006/relationships/hyperlink" Target="https://www.lursoft.lv/adrese/brivibas-iela-74-3-stende-talsu-novads-lv-3257/uznemum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z5i3u0pDpWVNxRMYv9xeEgGXA==">CgMxLjAyDmgubWR6emRlc2p0Y293OAByITFfNWNnbV9GT1hoUXZlaDlMcTIyS3E1V3pzVWphWW43Yw==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