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“Pūre 3”, Pūre, Pūres pagastā</w:t>
            </w:r>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1-18/1</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bCs w:val="1"/>
          <w:sz w:val="24"/>
          <w:szCs w:val="24"/>
          <w:u w:val="single"/>
          <w:rtl w:val="0"/>
        </w:rPr>
        <w:t xml:space="preserve">“Pūre 3”, Pūre, Pūres pagastā, </w:t>
      </w:r>
      <w:r w:rsidDel="00000000" w:rsidR="00000000" w:rsidRPr="00000000">
        <w:rPr>
          <w:rFonts w:ascii="Times New Roman" w:cs="Times New Roman" w:eastAsia="Times New Roman" w:hAnsi="Times New Roman"/>
          <w:b w:val="1"/>
          <w:bCs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bCs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bCs w:val="1"/>
          <w:i w:val="1"/>
          <w:iCs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cnWFwuOBaCTwI947/dCXXcQTcA==">CgMxLjA4AHIhMWFPb3YzOWItTERZYm44QklSbXl6azhZZnJiNVdtSEVB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