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 </w:t>
      </w:r>
    </w:p>
    <w:p w:rsidR="00000000" w:rsidDel="00000000" w:rsidP="00000000" w:rsidRDefault="00000000" w:rsidRPr="00000000" w14:paraId="00000004">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 Tehniskās apsekošanas atzinuma sagatavošanu daudzdzīvokļu mājai </w:t>
      </w:r>
    </w:p>
    <w:p w:rsidR="00000000" w:rsidDel="00000000" w:rsidP="00000000" w:rsidRDefault="00000000" w:rsidRPr="00000000" w14:paraId="00000005">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“Akoti” , Irlava, Irlavas pagastā, Tukuma novadā</w:t>
      </w:r>
    </w:p>
    <w:p w:rsidR="00000000" w:rsidDel="00000000" w:rsidP="00000000" w:rsidRDefault="00000000" w:rsidRPr="00000000" w14:paraId="00000006">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1-18/78</w:t>
      </w:r>
    </w:p>
    <w:p w:rsidR="00000000" w:rsidDel="00000000" w:rsidP="00000000" w:rsidRDefault="00000000" w:rsidRPr="00000000" w14:paraId="00000007">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right="-48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Cenu aptaujas noteikumi</w:t>
      </w:r>
    </w:p>
    <w:p w:rsidR="00000000" w:rsidDel="00000000" w:rsidP="00000000" w:rsidRDefault="00000000" w:rsidRPr="00000000" w14:paraId="00000009">
      <w:pPr>
        <w:spacing w:after="0" w:line="240" w:lineRule="auto"/>
        <w:ind w:right="-48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Juridiskā adrese: Spartaka iela 2A, Tukums, Tukuma novads, LV-3101.</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Kontaktpersonas: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 Santa Heimane, e-pasts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santa.heimane@ktilde.lv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25585315.</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152"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speciālists Jānis Lielmanis, e-pasts </w:t>
      </w:r>
      <w:hyperlink r:id="rId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janis.lielmanis@ktilde.lv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tālr. 29347033.</w:t>
      </w:r>
    </w:p>
    <w:p w:rsidR="00000000" w:rsidDel="00000000" w:rsidP="00000000" w:rsidRDefault="00000000" w:rsidRPr="00000000" w14:paraId="00000011">
      <w:pPr>
        <w:numPr>
          <w:ilvl w:val="0"/>
          <w:numId w:val="2"/>
        </w:numPr>
        <w:spacing w:after="0" w:line="240" w:lineRule="auto"/>
        <w:ind w:left="1152" w:right="-480"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speciāliste </w:t>
      </w:r>
      <w:r w:rsidDel="00000000" w:rsidR="00000000" w:rsidRPr="00000000">
        <w:rPr>
          <w:rFonts w:ascii="Times New Roman" w:cs="Times New Roman" w:eastAsia="Times New Roman" w:hAnsi="Times New Roman"/>
          <w:sz w:val="24"/>
          <w:szCs w:val="24"/>
          <w:highlight w:val="white"/>
          <w:rtl w:val="0"/>
        </w:rPr>
        <w:t xml:space="preserve">Solvita Volodkeviča</w:t>
      </w:r>
      <w:r w:rsidDel="00000000" w:rsidR="00000000" w:rsidRPr="00000000">
        <w:rPr>
          <w:rFonts w:ascii="Times New Roman" w:cs="Times New Roman" w:eastAsia="Times New Roman" w:hAnsi="Times New Roman"/>
          <w:sz w:val="24"/>
          <w:szCs w:val="24"/>
          <w:rtl w:val="0"/>
        </w:rPr>
        <w:t xml:space="preserve">, e-pasts </w:t>
      </w:r>
      <w:hyperlink r:id="rId9">
        <w:r w:rsidDel="00000000" w:rsidR="00000000" w:rsidRPr="00000000">
          <w:rPr>
            <w:rFonts w:ascii="Times New Roman" w:cs="Times New Roman" w:eastAsia="Times New Roman" w:hAnsi="Times New Roman"/>
            <w:color w:val="0563c1"/>
            <w:sz w:val="24"/>
            <w:szCs w:val="24"/>
            <w:u w:val="single"/>
            <w:rtl w:val="0"/>
          </w:rPr>
          <w:t xml:space="preserve">solvita.volodkevica@ktilde.lv</w:t>
        </w:r>
      </w:hyperlink>
      <w:r w:rsidDel="00000000" w:rsidR="00000000" w:rsidRPr="00000000">
        <w:rPr>
          <w:rFonts w:ascii="Times New Roman" w:cs="Times New Roman" w:eastAsia="Times New Roman" w:hAnsi="Times New Roman"/>
          <w:sz w:val="24"/>
          <w:szCs w:val="24"/>
          <w:rtl w:val="0"/>
        </w:rPr>
        <w:t xml:space="preserve">, tālr. </w:t>
      </w:r>
      <w:r w:rsidDel="00000000" w:rsidR="00000000" w:rsidRPr="00000000">
        <w:rPr>
          <w:rFonts w:ascii="Times New Roman" w:cs="Times New Roman" w:eastAsia="Times New Roman" w:hAnsi="Times New Roman"/>
          <w:sz w:val="24"/>
          <w:szCs w:val="24"/>
          <w:highlight w:val="white"/>
          <w:rtl w:val="0"/>
        </w:rPr>
        <w:t xml:space="preserve">25000881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jsh0zrf4ekbr"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Cenu aptaujas priekšmets: “Tehniskās apsekošanas atzinuma sagatavošana daudzdzīvokļu māj</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Akoti, Irlava, Irlavas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 cenu aptaujas uzvarētāju Pasūtītājs slēgs līgumu par tehniskās apsekošanas atzinuma sagatavošanu daudzdzīvokļu mājai </w:t>
      </w:r>
      <w:r w:rsidDel="00000000" w:rsidR="00000000" w:rsidRPr="00000000">
        <w:rPr>
          <w:rFonts w:ascii="Times New Roman" w:cs="Times New Roman" w:eastAsia="Times New Roman" w:hAnsi="Times New Roman"/>
          <w:sz w:val="24"/>
          <w:szCs w:val="24"/>
          <w:rtl w:val="0"/>
        </w:rPr>
        <w:t xml:space="preserve">Akoti, Irlava, Irlavas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Tukuma novadā, ja Pretendenta piedāvājums atbildīs cenu aptaujas noteikumiem un finanšu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Akoti, Irlava, Irlavas pagasts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Tukuma novadā kopīpašnieki vismaz 51% apmērā nolems slēgt līgumu. Iesniegtie piedāvājumi netiks pieņemti kā pamats obligātai līguma noslēgšanai.</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sz w:val="24"/>
          <w:szCs w:val="24"/>
          <w:rtl w:val="0"/>
        </w:rPr>
        <w:t xml:space="preserve">45 (četrdesmit piecas)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dienas no līguma parakstīšanas brīža.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lūdzam iesniegt līdz 2025.gada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novembr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plkst. 12:00, nosūtot elektroniski uz e-pasta adresi </w:t>
      </w:r>
      <w:hyperlink r:id="rId10">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 @ktilde.lv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h074k7sduyii"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Apsekošanas uzdevumu (2.pielikums).</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Pretendentam ieteicams apsekot objektu. Objektu iespējams apsekot sazinoties ar 1.4. punktā minētajām kontaktpersonām,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3 (trīs) gadu laikā ir izstrādāti vismaz 5 (pieci) tehniskās apsekošanas atzinumi dzīvojamām ēkām.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Objekta apsekošanu veic būvspeciālists atbilstoši būvspeciālistu kompetences novērtēšanas un patstāvīgās prakses uzraudzības jomas normatīvajā aktā noteiktai attiecīgās sfēras būvspeciālista kompetencei vai būvkomersanta reģistrā reģistrēta juridiskā persona, kura nodarbina attiecīgu būvspeciālistu (izvērtēt pēc nepieciešamības):</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Arhitekta prakses būvspeciālists;</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Ēku konstrukciju projektēšanā sertificētais būvspeciālists;</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Ugunsdrošības darbības sfērā sertificētais būvspeciālists;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Siltumapgādes, ventilācijas un gaisa kondicionēšanas sistēmu sertificētais būvspeciālists;</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418" w:right="-480" w:hanging="6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Ūdensapgādes un kanalizācijas sistēmu projektēšanas sertificētais būvspeciālists.</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480" w:hanging="504.000000000000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Būvdarbu vadīšanas vai būvuzraudzības sertificēts būvspeciālists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36">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Lēmumu par līguma slēgšanu ar konkrētu pretendentu pieņem dzīvokļu īpāsnieku kopība.</w:t>
      </w:r>
    </w:p>
    <w:p w:rsidR="00000000" w:rsidDel="00000000" w:rsidP="00000000" w:rsidRDefault="00000000" w:rsidRPr="00000000" w14:paraId="00000037">
      <w:pPr>
        <w:numPr>
          <w:ilvl w:val="1"/>
          <w:numId w:val="1"/>
        </w:numPr>
        <w:spacing w:after="0" w:line="276"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Līgums ar pretendentu tiek slēgts pēc pašvaldības lēmuma pieņemšanas par līdzfinansējuma piešķiršanu konkrētajai aktivitātei.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48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2.pielikums Apsekošanas uzdevums;</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480" w:hanging="432"/>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5. pielikums Tehniskās inverterizācijas lieta</w:t>
      </w:r>
      <w:r w:rsidDel="00000000" w:rsidR="00000000" w:rsidRPr="00000000">
        <w:rPr>
          <w:rtl w:val="0"/>
        </w:rPr>
      </w:r>
    </w:p>
    <w:sectPr>
      <w:pgSz w:h="16838" w:w="11906" w:orient="portrait"/>
      <w:pgMar w:bottom="720" w:top="720" w:left="1252.8" w:right="1252.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261FDD"/>
    <w:rPr>
      <w:color w:val="0563c1" w:themeColor="hyperlink"/>
      <w:u w:val="single"/>
    </w:rPr>
  </w:style>
  <w:style w:type="paragraph" w:styleId="ListParagraph">
    <w:name w:val="List Paragraph"/>
    <w:basedOn w:val="Normal"/>
    <w:uiPriority w:val="34"/>
    <w:qFormat w:val="1"/>
    <w:rsid w:val="00261FDD"/>
    <w:pPr>
      <w:ind w:left="720"/>
      <w:contextualSpacing w:val="1"/>
    </w:pPr>
  </w:style>
  <w:style w:type="character" w:styleId="UnresolvedMention">
    <w:name w:val="Unresolved Mention"/>
    <w:basedOn w:val="DefaultParagraphFont"/>
    <w:uiPriority w:val="99"/>
    <w:semiHidden w:val="1"/>
    <w:unhideWhenUsed w:val="1"/>
    <w:rsid w:val="00CC2C8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anta.heimane@ktilde.lv" TargetMode="External"/><Relationship Id="rId9" Type="http://schemas.openxmlformats.org/officeDocument/2006/relationships/hyperlink" Target="mailto:santa.heimane@ktilde.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nta.heimane@ktilde.lv" TargetMode="External"/><Relationship Id="rId8" Type="http://schemas.openxmlformats.org/officeDocument/2006/relationships/hyperlink" Target="mailto:janis.lielmanis@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89Umo+pJDB3DVhzUFlW/p+Ljdw==">CgMxLjAyDmguanNoMHpyZjRla2JyMg5oLmgwNzRrN3NkdXlpaTgAciExSWRGV1lWcVVodkNWQlNGV0xtTUNERFc2aVlOdTJrRzk=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2025-03-19T12:25:00Z</dcterms:created>
  <dc:creator>Komunalserviss</dc:creator>
</cp:coreProperties>
</file>