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“Zemeņu iela 5”, Pūre, Pūres pagastā</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rtl w:val="0"/>
              </w:rPr>
              <w:t xml:space="preserve">, Tukuma novads, LV-3124.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“Zemeņu iela 5”, Pūre, Pūres pagastā</w:t>
            </w:r>
            <w:r w:rsidDel="00000000" w:rsidR="00000000" w:rsidRPr="00000000">
              <w:rPr>
                <w:rFonts w:ascii="Times New Roman" w:cs="Times New Roman" w:eastAsia="Times New Roman" w:hAnsi="Times New Roman"/>
                <w:rtl w:val="0"/>
              </w:rPr>
              <w:t xml:space="preserve">, Tukuma novadā, (kadastra apzīmējums 90740080224001);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221,4</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 1 pagraba</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Pēc Tukuma novada būvvaldes Atzinuma par būves pārbaudi </w:t>
            </w:r>
            <w:r w:rsidDel="00000000" w:rsidR="00000000" w:rsidRPr="00000000">
              <w:rPr>
                <w:rFonts w:ascii="Times New Roman" w:cs="Times New Roman" w:eastAsia="Times New Roman" w:hAnsi="Times New Roman"/>
                <w:b w:val="1"/>
                <w:rtl w:val="0"/>
              </w:rPr>
              <w:t xml:space="preserve">Nr. BIS-BV-19.9-2025-4203</w:t>
            </w:r>
            <w:r w:rsidDel="00000000" w:rsidR="00000000" w:rsidRPr="00000000">
              <w:rPr>
                <w:rFonts w:ascii="Times New Roman" w:cs="Times New Roman" w:eastAsia="Times New Roman" w:hAnsi="Times New Roman"/>
                <w:rtl w:val="0"/>
              </w:rPr>
              <w:t xml:space="preserve">,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p w:rsidR="00000000" w:rsidDel="00000000" w:rsidP="00000000" w:rsidRDefault="00000000" w:rsidRPr="00000000" w14:paraId="0000001D">
            <w:pPr>
              <w:shd w:fill="ffffff" w:val="clear"/>
              <w:ind w:left="3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hd w:fill="ffffff" w:val="clear"/>
              <w:ind w:left="320" w:firstLine="0"/>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w:t>
            </w:r>
            <w:r w:rsidDel="00000000" w:rsidR="00000000" w:rsidRPr="00000000">
              <w:rPr>
                <w:rFonts w:ascii="Times New Roman" w:cs="Times New Roman" w:eastAsia="Times New Roman" w:hAnsi="Times New Roman"/>
                <w:b w:val="1"/>
                <w:highlight w:val="white"/>
                <w:rtl w:val="0"/>
              </w:rPr>
              <w:t xml:space="preserve">kas ietver - detalizētu un padziļinātu būves, tas daļas vai būves daļā iebūvēto būvizstādājumu, elementu un to savienojumu mezglu tehnisko apsekošanu, atsedzot būvkonstrukcijas, veicot urbumus vai lietojot citas destruktīvas izpētes metodes, lai konstatētu vai precizētu būves, tās daļas vai būves daļā iebūvēto būvizstrādājumu vai elementu tehnisko stāvokli, bojājumus un trūkumus, kā arī cēloņus.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Noteikt  būvei:</w:t>
            </w:r>
          </w:p>
          <w:p w:rsidR="00000000" w:rsidDel="00000000" w:rsidP="00000000" w:rsidRDefault="00000000" w:rsidRPr="00000000" w14:paraId="0000002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5">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E">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F">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40">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41">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6">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A">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B">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50">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51">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52">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3">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8">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y0UsmNGFqywXUDaNEcnpbqfag==">CgMxLjAyDmgubGY5N3p4MzR0ZzczOAByITFUOFdtYUZNOXdvSlV5SGxIb3U2WGlwVE9FOTZWc3QtWg==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