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UZAICINĀJUMS</w:t>
      </w:r>
    </w:p>
    <w:p w:rsidR="00000000" w:rsidDel="00000000" w:rsidP="00000000" w:rsidRDefault="00000000" w:rsidRPr="00000000" w14:paraId="00000002">
      <w:pPr>
        <w:widowControl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Nr. 1-18/74</w:t>
      </w:r>
    </w:p>
    <w:p w:rsidR="00000000" w:rsidDel="00000000" w:rsidP="00000000" w:rsidRDefault="00000000" w:rsidRPr="00000000" w14:paraId="00000003">
      <w:pPr>
        <w:widowControl w:val="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widowControl w:val="1"/>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Piedalīties SIA “Komunālserviss TILDe” rīkotajā cenu aptaujā</w:t>
      </w:r>
    </w:p>
    <w:p w:rsidR="00000000" w:rsidDel="00000000" w:rsidP="00000000" w:rsidRDefault="00000000" w:rsidRPr="00000000" w14:paraId="00000005">
      <w:pPr>
        <w:ind w:right="282"/>
        <w:jc w:val="center"/>
        <w:rPr>
          <w:b w:val="1"/>
          <w:sz w:val="24"/>
          <w:szCs w:val="24"/>
        </w:rPr>
      </w:pPr>
      <w:r w:rsidDel="00000000" w:rsidR="00000000" w:rsidRPr="00000000">
        <w:rPr>
          <w:b w:val="1"/>
          <w:sz w:val="24"/>
          <w:szCs w:val="24"/>
          <w:rtl w:val="0"/>
        </w:rPr>
        <w:t xml:space="preserve">par būvniecības ieceres dokumentācijas sagatavošanu Daudzdzīvokļu dzīvojamās mājas “Pūpoli”, Slampe, Slampes pagasts, Tukuma novadā</w:t>
      </w:r>
    </w:p>
    <w:p w:rsidR="00000000" w:rsidDel="00000000" w:rsidP="00000000" w:rsidRDefault="00000000" w:rsidRPr="00000000" w14:paraId="00000006">
      <w:pPr>
        <w:ind w:right="282"/>
        <w:jc w:val="center"/>
        <w:rPr>
          <w:b w:val="1"/>
          <w:sz w:val="24"/>
          <w:szCs w:val="24"/>
        </w:rPr>
      </w:pPr>
      <w:r w:rsidDel="00000000" w:rsidR="00000000" w:rsidRPr="00000000">
        <w:rPr>
          <w:b w:val="1"/>
          <w:sz w:val="24"/>
          <w:szCs w:val="24"/>
          <w:rtl w:val="0"/>
        </w:rPr>
        <w:t xml:space="preserve"> (kadastra apz. 9080 011 0297 001 un 9080 011 0297 002) </w:t>
      </w:r>
    </w:p>
    <w:p w:rsidR="00000000" w:rsidDel="00000000" w:rsidP="00000000" w:rsidRDefault="00000000" w:rsidRPr="00000000" w14:paraId="00000007">
      <w:pPr>
        <w:ind w:right="282"/>
        <w:jc w:val="center"/>
        <w:rPr>
          <w:b w:val="1"/>
          <w:sz w:val="24"/>
          <w:szCs w:val="24"/>
        </w:rPr>
      </w:pPr>
      <w:r w:rsidDel="00000000" w:rsidR="00000000" w:rsidRPr="00000000">
        <w:rPr>
          <w:b w:val="1"/>
          <w:sz w:val="24"/>
          <w:szCs w:val="24"/>
          <w:rtl w:val="0"/>
        </w:rPr>
        <w:t xml:space="preserve">daļēja atjaunošana</w:t>
      </w:r>
    </w:p>
    <w:p w:rsidR="00000000" w:rsidDel="00000000" w:rsidP="00000000" w:rsidRDefault="00000000" w:rsidRPr="00000000" w14:paraId="00000008">
      <w:pPr>
        <w:widowControl w:val="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widowControl w:val="1"/>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200" w:before="0" w:line="276" w:lineRule="auto"/>
        <w:ind w:left="720" w:right="0" w:hanging="360"/>
        <w:jc w:val="both"/>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Informācija par pasūtītāju:</w:t>
      </w:r>
      <w:r w:rsidDel="00000000" w:rsidR="00000000" w:rsidRPr="00000000">
        <w:rPr>
          <w:rtl w:val="0"/>
        </w:rPr>
      </w:r>
    </w:p>
    <w:tbl>
      <w:tblPr>
        <w:tblStyle w:val="Table1"/>
        <w:tblW w:w="8296.0" w:type="dxa"/>
        <w:jc w:val="left"/>
        <w:tblLayout w:type="fixed"/>
        <w:tblLook w:val="0000"/>
      </w:tblPr>
      <w:tblGrid>
        <w:gridCol w:w="3997"/>
        <w:gridCol w:w="4299"/>
        <w:tblGridChange w:id="0">
          <w:tblGrid>
            <w:gridCol w:w="3997"/>
            <w:gridCol w:w="429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0C">
            <w:pPr>
              <w:pStyle w:val="Heading1"/>
              <w:rPr>
                <w:b w:val="0"/>
              </w:rPr>
            </w:pPr>
            <w:r w:rsidDel="00000000" w:rsidR="00000000" w:rsidRPr="00000000">
              <w:rPr>
                <w:b w:val="0"/>
                <w:rtl w:val="0"/>
              </w:rPr>
              <w:t xml:space="preserve">Nosaukums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Sabiedrība ar ierobežotu atbildību „Komunālserviss TILDe” (uz pilnvarojuma pamata pārstāv dzīvokļu īpašnieku biedrību “Pūpoli”) </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Reģistrācijas numurs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50103420091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Adrese</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Spartaka iela 2A, Tukums, Tukuma novads, LV-3101</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Kontaktpersona</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Santa Heimane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Dzīvojamo māju apsaimniekošanas nodaļas vadītāj</w:t>
            </w:r>
            <w:r w:rsidDel="00000000" w:rsidR="00000000" w:rsidRPr="00000000">
              <w:rPr>
                <w:rFonts w:ascii="Times New Roman" w:cs="Times New Roman" w:eastAsia="Times New Roman" w:hAnsi="Times New Roman"/>
                <w:sz w:val="24"/>
                <w:szCs w:val="24"/>
                <w:rtl w:val="0"/>
              </w:rPr>
              <w:t xml:space="preserve">a</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Kontakttālrunis</w:t>
            </w:r>
          </w:p>
        </w:tc>
        <w:tc>
          <w:tcPr>
            <w:tcBorders>
              <w:top w:color="000000" w:space="0" w:sz="4" w:val="single"/>
              <w:left w:color="000000" w:space="0" w:sz="4" w:val="single"/>
              <w:bottom w:color="000000" w:space="0" w:sz="4" w:val="single"/>
              <w:right w:color="000000" w:space="0" w:sz="4" w:val="single"/>
            </w:tcBorders>
            <w:shd w:fill="auto" w:val="clear"/>
            <w:tcMar>
              <w:top w:w="0.0" w:type="dxa"/>
              <w:left w:w="113.0" w:type="dxa"/>
              <w:bottom w:w="0.0" w:type="dxa"/>
              <w:right w:w="108.0" w:type="dxa"/>
            </w:tcMar>
          </w:tcPr>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25585315</w:t>
            </w:r>
          </w:p>
        </w:tc>
      </w:tr>
    </w:tbl>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56"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Iepirkuma priekšmets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9">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6" w:lineRule="auto"/>
        <w:ind w:left="360" w:right="282"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B</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ūvniecības ieceres dokumentācijas sagatavošana Daudzdzīvokļu dzīvojamās mājas “Pūpoli”, Slampe, Slampes pagasts Tukuma novadā (kadastra apz. 9080 011 0297 001 un 9080 011 0297 002) daļēja atjaunošana. </w:t>
      </w:r>
    </w:p>
    <w:p w:rsidR="00000000" w:rsidDel="00000000" w:rsidP="00000000" w:rsidRDefault="00000000" w:rsidRPr="00000000" w14:paraId="0000001A">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56" w:lineRule="auto"/>
        <w:ind w:left="360" w:right="282" w:hanging="36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Ar Cenu aptaujas uzvarētāju Pasūtītājs slēgs līgumu (trīspusējs ar DZĪB “Pūpoli”) par būvniecības ieceres</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dokumentācijas sagatavošanu Daudzdzīvokļu dzīvojamās mājas “Pūpoli”, Slampe,Slampes pagasts, Tukuma novadā (kadastra apz. 9080 011 0297 001 un 9080 011 0297 002) daļēja atjaunošana.</w:t>
      </w:r>
    </w:p>
    <w:p w:rsidR="00000000" w:rsidDel="00000000" w:rsidP="00000000" w:rsidRDefault="00000000" w:rsidRPr="00000000" w14:paraId="0000001B">
      <w:pPr>
        <w:ind w:right="282" w:firstLine="360"/>
        <w:jc w:val="both"/>
        <w:rPr>
          <w:sz w:val="24"/>
          <w:szCs w:val="24"/>
        </w:rPr>
      </w:pPr>
      <w:r w:rsidDel="00000000" w:rsidR="00000000" w:rsidRPr="00000000">
        <w:rPr>
          <w:sz w:val="24"/>
          <w:szCs w:val="24"/>
          <w:rtl w:val="0"/>
        </w:rPr>
        <w:t xml:space="preserve">Iesniegtie piedāvājumi netiks pieņemti kā pamats obligātai līguma noslēgšanai.</w:t>
      </w:r>
    </w:p>
    <w:p w:rsidR="00000000" w:rsidDel="00000000" w:rsidP="00000000" w:rsidRDefault="00000000" w:rsidRPr="00000000" w14:paraId="0000001C">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4" w:lineRule="auto"/>
        <w:ind w:left="0" w:right="28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Līguma izpildes termiņš: 4 mēneši no līguma parakstīšanas brīža.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4" w:lineRule="auto"/>
        <w:ind w:left="0" w:right="28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Iesniedzot piedāvājumu, Pretendents apliecina, ka nodod Pasūtītājam tiesības apstrādāt iegūtos fizisko personu datus tikai ar mērķi nodrošināt cenu aptaujas prasību pārbaudi, ievērojot tiesību normatīvajos aktos noteiktās prasības šādu datu apstrādei un aizsardzībai, tajā skaitā no 2018.gada 25.maija ievērojot Eiropas Parlamenta un Padomes 2016.gada 27.aprīļa Regulas (ES) 2016/679 par fizisku personu aizsardzību attiecībā uz personu datu apstrādi un šādu datu brīvu apriti un ar ko atceļ Direktīvu 95/46/EK (Vispārīgā datu aizsardzības regula) prasības.</w:t>
      </w:r>
    </w:p>
    <w:p w:rsidR="00000000" w:rsidDel="00000000" w:rsidP="00000000" w:rsidRDefault="00000000" w:rsidRPr="00000000" w14:paraId="0000001E">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54"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nododot Pasūtītājam fizisko personu datus apstrādei, atbild par piekrišanu, iegūšanu no attiecīgajiem datu subjektiem vai cita pamatojuma esību fizisko personu datu likumīgai apstrādei.</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iesniegšanas kārtība un termiņš</w:t>
      </w:r>
      <w:r w:rsidDel="00000000" w:rsidR="00000000" w:rsidRPr="00000000">
        <w:rPr>
          <w:rtl w:val="0"/>
        </w:rPr>
      </w:r>
    </w:p>
    <w:p w:rsidR="00000000" w:rsidDel="00000000" w:rsidP="00000000" w:rsidRDefault="00000000" w:rsidRPr="00000000" w14:paraId="00000021">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Piedāvājumu lūdzam iesniegt līdz 2025.gada </w:t>
      </w:r>
      <w:r w:rsidDel="00000000" w:rsidR="00000000" w:rsidRPr="00000000">
        <w:rPr>
          <w:rFonts w:ascii="Times New Roman" w:cs="Times New Roman" w:eastAsia="Times New Roman" w:hAnsi="Times New Roman"/>
          <w:sz w:val="24"/>
          <w:szCs w:val="24"/>
          <w:rtl w:val="0"/>
        </w:rPr>
        <w:t xml:space="preserve">18</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sz w:val="24"/>
          <w:szCs w:val="24"/>
          <w:rtl w:val="0"/>
        </w:rPr>
        <w:t xml:space="preserve">septembrim</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plkst. 1</w:t>
      </w:r>
      <w:r w:rsidDel="00000000" w:rsidR="00000000" w:rsidRPr="00000000">
        <w:rPr>
          <w:rFonts w:ascii="Times New Roman" w:cs="Times New Roman" w:eastAsia="Times New Roman" w:hAnsi="Times New Roman"/>
          <w:sz w:val="24"/>
          <w:szCs w:val="24"/>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 nosūtot elektroniski uz e-pasta adresi </w:t>
      </w:r>
      <w:hyperlink r:id="rId7">
        <w:r w:rsidDel="00000000" w:rsidR="00000000" w:rsidRPr="00000000">
          <w:rPr>
            <w:rFonts w:ascii="Times New Roman" w:cs="Times New Roman" w:eastAsia="Times New Roman" w:hAnsi="Times New Roman"/>
            <w:b w:val="0"/>
            <w:i w:val="0"/>
            <w:smallCaps w:val="0"/>
            <w:strike w:val="0"/>
            <w:color w:val="0563c1"/>
            <w:sz w:val="24"/>
            <w:szCs w:val="24"/>
            <w:u w:val="single"/>
            <w:shd w:fill="auto" w:val="clear"/>
            <w:vertAlign w:val="baseline"/>
            <w:rtl w:val="0"/>
          </w:rPr>
          <w:t xml:space="preserve">info@ktilde.lv</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Pasūtītājam ir tiesības neizskatīt piedāvājumu, kas iesniegts pēc minētā termiņa.</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Piedāvājuma noformējums</w:t>
      </w:r>
    </w:p>
    <w:p w:rsidR="00000000" w:rsidDel="00000000" w:rsidP="00000000" w:rsidRDefault="00000000" w:rsidRPr="00000000" w14:paraId="00000025">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dokumentiem jābūt latviešu valodā. Ārvalstu institūciju izdotie apliecinājumu dokumenti drīkst būt svešvalodā ar pievienotu tulkojumu latviešu valodā, kas apliecināts saskaņā ar normatīvajiem aktiem. </w:t>
      </w:r>
    </w:p>
    <w:p w:rsidR="00000000" w:rsidDel="00000000" w:rsidP="00000000" w:rsidRDefault="00000000" w:rsidRPr="00000000" w14:paraId="00000026">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Piedāvājumu jāparaksta personai, kura likumiski pārstāv ieinteresēto piegādātāju, vai arī ir pilnvarota pārstāvēt ieinteresēto piegādātāju šajā cenu aptaujā. </w:t>
      </w:r>
    </w:p>
    <w:p w:rsidR="00000000" w:rsidDel="00000000" w:rsidP="00000000" w:rsidRDefault="00000000" w:rsidRPr="00000000" w14:paraId="00000027">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Visām izmaksām, kas saistītas ar cenu aptaujas priekšmetu un kuras ir nepieciešamas līguma izpildei pilnā apmērā un atbilstošā kvalitātē saskaņā ar spēkā esošajiem normatīvajiem aktiem, jābūt iekļautām Pretendenta piedāvātajā līgumcenā. Papildus izmaksas, kas nav iekļautas un norādītas pretendenta piedāvājumā, netiks ņemtas vērā, noslēdzot iepirkuma līgumu.</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Iesniedzamie dokumenti</w:t>
      </w:r>
    </w:p>
    <w:p w:rsidR="00000000" w:rsidDel="00000000" w:rsidP="00000000" w:rsidRDefault="00000000" w:rsidRPr="00000000" w14:paraId="0000002A">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Pretendentam jāiesniedz pasūtītājam šādi dokumenti:</w:t>
      </w:r>
    </w:p>
    <w:p w:rsidR="00000000" w:rsidDel="00000000" w:rsidP="00000000" w:rsidRDefault="00000000" w:rsidRPr="00000000" w14:paraId="0000002B">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925ycrfelq3z"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Piedāvājuma vēstule un informācija par pretendentu, kas sagatavota atbilstoši noteikumiem pievienotajai formai (1.pielikums);</w:t>
      </w:r>
    </w:p>
    <w:p w:rsidR="00000000" w:rsidDel="00000000" w:rsidP="00000000" w:rsidRDefault="00000000" w:rsidRPr="00000000" w14:paraId="0000002C">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Pretendents iesniedz apstiprinātu/parakstītu Projektēšanas uzdevumu (2.pielikums). </w:t>
      </w:r>
    </w:p>
    <w:p w:rsidR="00000000" w:rsidDel="00000000" w:rsidP="00000000" w:rsidRDefault="00000000" w:rsidRPr="00000000" w14:paraId="0000002D">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Pretendentam jāapseko objekts</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Objektu iespējams apsekot sazinoties ar 1.4. punktā minēto kontaktpersonu, pie iesniedzamajiem dokumentiem jāpievieno aizpildītu 3.pielikumu - Apliecinājums par objekta apsekošanu. </w:t>
      </w:r>
    </w:p>
    <w:p w:rsidR="00000000" w:rsidDel="00000000" w:rsidP="00000000" w:rsidRDefault="00000000" w:rsidRPr="00000000" w14:paraId="0000002E">
      <w:pPr>
        <w:keepNext w:val="0"/>
        <w:keepLines w:val="0"/>
        <w:pageBreakBefore w:val="0"/>
        <w:widowControl w:val="1"/>
        <w:numPr>
          <w:ilvl w:val="2"/>
          <w:numId w:val="1"/>
        </w:numPr>
        <w:pBdr>
          <w:top w:space="0" w:sz="0" w:val="nil"/>
          <w:left w:space="0" w:sz="0" w:val="nil"/>
          <w:bottom w:space="0" w:sz="0" w:val="nil"/>
          <w:right w:space="0" w:sz="0" w:val="nil"/>
          <w:between w:space="0" w:sz="0" w:val="nil"/>
        </w:pBdr>
        <w:shd w:fill="auto" w:val="clear"/>
        <w:spacing w:after="0" w:before="0" w:line="254"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Kvalifikāciju apliecinošu dokumentu kopijas.</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Pretendentu kvalifikācijas prasības</w:t>
      </w:r>
    </w:p>
    <w:p w:rsidR="00000000" w:rsidDel="00000000" w:rsidP="00000000" w:rsidRDefault="00000000" w:rsidRPr="00000000" w14:paraId="0000003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Pretendenta saimnieciskā un/vai profesionālā darbība ir reģistrēta normatīvajos aktos noteiktajā kārtībā. Pretendents un tā speciālisti profesionālās darbības veikšanai ir saņēmuši visas nepieciešamās atļaujas, sertifikātus, licences. Pretendenta speciālistu izglītība, pieredze un profesionālā kvalifikācija atbilst cenu aptaujas noteikumu un normatīvo aktu prasībām. </w:t>
      </w:r>
    </w:p>
    <w:p w:rsidR="00000000" w:rsidDel="00000000" w:rsidP="00000000" w:rsidRDefault="00000000" w:rsidRPr="00000000" w14:paraId="0000003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ee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Profesionālās darbības pieredze -  pēdējo 7 (septiņu) gadu laikā ir izstrādātas vismaz 1 (viena) būvniecības ieceres dokumentācija daudzdzīvokļu dzīvojamo māju energoefektivitātes paaugstināšanai un/vai atjaunošanai, šajā objektā ir pabeigti būvdarbi, jāpievienojo pasūtītāja atsauksme.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Piedāvājumu vērtēšana, uzvarētāja noteikšana un rezultātu paziņošana</w:t>
      </w:r>
    </w:p>
    <w:p w:rsidR="00000000" w:rsidDel="00000000" w:rsidP="00000000" w:rsidRDefault="00000000" w:rsidRPr="00000000" w14:paraId="00000035">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Pretendenta piedāvājums tiek noraidīts, ja Pretendents neatbilst šajos noteikumos noteiktajām kvalifikācijas prasībām, vai piedāvājums pārsniedz Pasūtītāja finansiālās iespējas, vai Pretendents ir sniedzis nepatiesu informāciju, lai apliecinātu atbilstību minētajām prasībām, vai nav sniedzis prasīto informāciju. Pasūtītājam ir negatīva sadarbības pieredze ar Pretendentu vai ir saņemtas vairākas negatīvas atsauksmes par sadarbību ar Pretendentu. </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Paziņo attiecīgās dzīvojamās mājas dzīvokļu īpašniekiem informāciju par atzīto pretendentu, kuram būtu piešķiramas līguma slēgšanas tiesības iepirkumā. Pēc dzīvojamās mājas dzīvokļu īpašnieku kopības lēmuma saņemšanas,  pieņem lēmumu par uzvarētāju vai cenu aptaujas pārtraukšanu. </w:t>
      </w:r>
    </w:p>
    <w:p w:rsidR="00000000" w:rsidDel="00000000" w:rsidP="00000000" w:rsidRDefault="00000000" w:rsidRPr="00000000" w14:paraId="00000037">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Tiks veikta Pretendentu izslēgšanas gadījumu pārbaude atbilstoši Publisko iepirkumu likumam. </w:t>
      </w:r>
    </w:p>
    <w:p w:rsidR="00000000" w:rsidDel="00000000" w:rsidP="00000000" w:rsidRDefault="00000000" w:rsidRPr="00000000" w14:paraId="00000038">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Par cenu aptaujas uzvarētāju tiks atzīts piedāvājums, kas atbilst piedāvājuma izvēles kritērijam. </w:t>
      </w:r>
    </w:p>
    <w:p w:rsidR="00000000" w:rsidDel="00000000" w:rsidP="00000000" w:rsidRDefault="00000000" w:rsidRPr="00000000" w14:paraId="00000039">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Piedāvājumu izvēles kritērijs: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zemākā cena. </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Pasūtītājs pieņemto lēmumu paziņos visiem Pretendentiem pēc lēmuma pieņemšanas.</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4" w:lineRule="auto"/>
        <w:ind w:left="36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Noteikumu pielikumi</w:t>
      </w:r>
    </w:p>
    <w:p w:rsidR="00000000" w:rsidDel="00000000" w:rsidP="00000000" w:rsidRDefault="00000000" w:rsidRPr="00000000" w14:paraId="0000003D">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Pretendenta piedāvājuma vēstules forma - 1.pielikums; </w:t>
      </w:r>
    </w:p>
    <w:p w:rsidR="00000000" w:rsidDel="00000000" w:rsidP="00000000" w:rsidRDefault="00000000" w:rsidRPr="00000000" w14:paraId="0000003E">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Projektēšanas uzdevums - 2.pielikums; </w:t>
      </w:r>
    </w:p>
    <w:p w:rsidR="00000000" w:rsidDel="00000000" w:rsidP="00000000" w:rsidRDefault="00000000" w:rsidRPr="00000000" w14:paraId="0000003F">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60" w:before="0" w:line="254" w:lineRule="auto"/>
        <w:ind w:left="36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Apliecinājums par objekta apsekošanu - 3.pielikums;</w:t>
      </w:r>
    </w:p>
    <w:p w:rsidR="00000000" w:rsidDel="00000000" w:rsidP="00000000" w:rsidRDefault="00000000" w:rsidRPr="00000000" w14:paraId="00000040">
      <w:pPr>
        <w:widowControl w:val="1"/>
        <w:spacing w:after="160" w:line="254" w:lineRule="auto"/>
        <w:rPr>
          <w:rFonts w:ascii="Calibri" w:cs="Calibri" w:eastAsia="Calibri" w:hAnsi="Calibri"/>
        </w:rPr>
      </w:pPr>
      <w:r w:rsidDel="00000000" w:rsidR="00000000" w:rsidRPr="00000000">
        <w:rPr>
          <w:rtl w:val="0"/>
        </w:rPr>
      </w:r>
    </w:p>
    <w:p w:rsidR="00000000" w:rsidDel="00000000" w:rsidP="00000000" w:rsidRDefault="00000000" w:rsidRPr="00000000" w14:paraId="00000041">
      <w:pPr>
        <w:widowControl w:val="1"/>
        <w:spacing w:after="160" w:line="254" w:lineRule="auto"/>
        <w:rPr>
          <w:rFonts w:ascii="Calibri" w:cs="Calibri" w:eastAsia="Calibri" w:hAnsi="Calibri"/>
        </w:rPr>
      </w:pPr>
      <w:r w:rsidDel="00000000" w:rsidR="00000000" w:rsidRPr="00000000">
        <w:rPr>
          <w:rtl w:val="0"/>
        </w:rPr>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284"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orient="portrait"/>
      <w:pgMar w:bottom="1440" w:top="1440" w:left="1800" w:right="18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2">
    <w:lvl w:ilvl="0">
      <w:start w:val="6"/>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2"/>
      <w:numFmt w:val="decimal"/>
      <w:lvlText w:val="%1."/>
      <w:lvlJc w:val="left"/>
      <w:pPr>
        <w:ind w:left="360" w:hanging="360"/>
      </w:pPr>
      <w:rPr/>
    </w:lvl>
    <w:lvl w:ilvl="1">
      <w:start w:val="3"/>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5">
    <w:lvl w:ilvl="0">
      <w:start w:val="8"/>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6">
    <w:lvl w:ilvl="0">
      <w:start w:val="2"/>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7">
    <w:lvl w:ilvl="0">
      <w:start w:val="3"/>
      <w:numFmt w:val="decimal"/>
      <w:lvlText w:val="%1."/>
      <w:lvlJc w:val="left"/>
      <w:pPr>
        <w:ind w:left="360" w:hanging="360"/>
      </w:pPr>
      <w:rPr/>
    </w:lvl>
    <w:lvl w:ilvl="1">
      <w:start w:val="1"/>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lv"/>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tandard" w:customStyle="1">
    <w:name w:val="Standard"/>
    <w:pPr>
      <w:widowControl w:val="1"/>
      <w:suppressAutoHyphens w:val="1"/>
      <w:spacing w:after="160" w:line="256" w:lineRule="auto"/>
    </w:pPr>
  </w:style>
  <w:style w:type="paragraph" w:styleId="Heading" w:customStyle="1">
    <w:name w:val="Heading"/>
    <w:basedOn w:val="Standard"/>
    <w:next w:val="Textbody"/>
    <w:pPr>
      <w:keepNext w:val="1"/>
      <w:spacing w:after="120" w:before="240"/>
    </w:pPr>
    <w:rPr>
      <w:rFonts w:ascii="Liberation Sans" w:cs="Arial" w:eastAsia="Microsoft YaHei" w:hAnsi="Liberation Sans"/>
      <w:sz w:val="28"/>
      <w:szCs w:val="28"/>
    </w:rPr>
  </w:style>
  <w:style w:type="paragraph" w:styleId="Textbody" w:customStyle="1">
    <w:name w:val="Text body"/>
    <w:basedOn w:val="Standard"/>
    <w:pPr>
      <w:spacing w:after="140" w:line="276" w:lineRule="auto"/>
    </w:pPr>
  </w:style>
  <w:style w:type="paragraph" w:styleId="List">
    <w:name w:val="List"/>
    <w:basedOn w:val="Textbody"/>
    <w:rPr>
      <w:rFonts w:cs="Arial"/>
    </w:rPr>
  </w:style>
  <w:style w:type="paragraph" w:styleId="Caption">
    <w:name w:val="caption"/>
    <w:basedOn w:val="Standard"/>
    <w:pPr>
      <w:suppressLineNumbers w:val="1"/>
      <w:spacing w:after="120" w:before="120"/>
    </w:pPr>
    <w:rPr>
      <w:rFonts w:cs="Arial"/>
      <w:i w:val="1"/>
      <w:iCs w:val="1"/>
      <w:sz w:val="24"/>
      <w:szCs w:val="24"/>
    </w:rPr>
  </w:style>
  <w:style w:type="paragraph" w:styleId="Index" w:customStyle="1">
    <w:name w:val="Index"/>
    <w:basedOn w:val="Standard"/>
    <w:pPr>
      <w:suppressLineNumbers w:val="1"/>
    </w:pPr>
    <w:rPr>
      <w:rFonts w:cs="Arial"/>
    </w:rPr>
  </w:style>
  <w:style w:type="paragraph" w:styleId="ListParagraph">
    <w:name w:val="List Paragraph"/>
    <w:basedOn w:val="Standard"/>
    <w:pPr>
      <w:spacing w:after="200" w:line="276" w:lineRule="auto"/>
      <w:ind w:left="720"/>
    </w:pPr>
    <w:rPr>
      <w:rFonts w:cs="Times New Roman"/>
    </w:rPr>
  </w:style>
  <w:style w:type="paragraph" w:styleId="naisnod" w:customStyle="1">
    <w:name w:val="naisnod"/>
    <w:basedOn w:val="Standard"/>
    <w:pPr>
      <w:spacing w:after="150" w:before="150" w:line="240" w:lineRule="auto"/>
      <w:jc w:val="center"/>
    </w:pPr>
    <w:rPr>
      <w:rFonts w:ascii="Times New Roman" w:cs="Times New Roman" w:eastAsia="Times New Roman" w:hAnsi="Times New Roman"/>
      <w:b w:val="1"/>
      <w:bCs w:val="1"/>
      <w:sz w:val="24"/>
      <w:szCs w:val="24"/>
      <w:lang w:eastAsia="lv-LV"/>
    </w:rPr>
  </w:style>
  <w:style w:type="paragraph" w:styleId="BalloonText">
    <w:name w:val="Balloon Text"/>
    <w:basedOn w:val="Standard"/>
    <w:pPr>
      <w:spacing w:after="0" w:line="240" w:lineRule="auto"/>
    </w:pPr>
    <w:rPr>
      <w:rFonts w:ascii="Segoe UI" w:cs="Segoe UI" w:eastAsia="Segoe UI" w:hAnsi="Segoe UI"/>
      <w:sz w:val="18"/>
      <w:szCs w:val="18"/>
    </w:rPr>
  </w:style>
  <w:style w:type="paragraph" w:styleId="Framecontents" w:customStyle="1">
    <w:name w:val="Frame contents"/>
    <w:basedOn w:val="Standard"/>
  </w:style>
  <w:style w:type="paragraph" w:styleId="TableContents" w:customStyle="1">
    <w:name w:val="Table Contents"/>
    <w:basedOn w:val="Standard"/>
    <w:pPr>
      <w:suppressLineNumbers w:val="1"/>
    </w:pPr>
  </w:style>
  <w:style w:type="character" w:styleId="Virsraksts1Rakstz" w:customStyle="1">
    <w:name w:val="Virsraksts 1 Rakstz."/>
    <w:basedOn w:val="DefaultParagraphFont"/>
    <w:rPr>
      <w:rFonts w:ascii="Times New Roman" w:cs="Times New Roman" w:eastAsia="Times New Roman" w:hAnsi="Times New Roman"/>
      <w:b w:val="1"/>
      <w:bCs w:val="1"/>
      <w:sz w:val="24"/>
      <w:szCs w:val="24"/>
    </w:rPr>
  </w:style>
  <w:style w:type="character" w:styleId="BalontekstsRakstz" w:customStyle="1">
    <w:name w:val="Balonteksts Rakstz."/>
    <w:basedOn w:val="DefaultParagraphFont"/>
    <w:rPr>
      <w:rFonts w:ascii="Segoe UI" w:cs="Segoe UI" w:eastAsia="Segoe UI" w:hAnsi="Segoe UI"/>
      <w:sz w:val="18"/>
      <w:szCs w:val="18"/>
    </w:rPr>
  </w:style>
  <w:style w:type="character" w:styleId="Internetlink" w:customStyle="1">
    <w:name w:val="Internet link"/>
    <w:basedOn w:val="DefaultParagraphFont"/>
    <w:rPr>
      <w:color w:val="0563c1"/>
      <w:u w:val="single"/>
    </w:rPr>
  </w:style>
  <w:style w:type="character" w:styleId="ListLabel1" w:customStyle="1">
    <w:name w:val="ListLabel 1"/>
    <w:rPr>
      <w:rFonts w:ascii="Times New Roman" w:cs="Times New Roman" w:eastAsia="Times New Roman" w:hAnsi="Times New Roman"/>
      <w:bCs w:val="1"/>
      <w:sz w:val="24"/>
      <w:szCs w:val="24"/>
    </w:rPr>
  </w:style>
  <w:style w:type="character" w:styleId="ListLabel2" w:customStyle="1">
    <w:name w:val="ListLabel 2"/>
    <w:rPr>
      <w:rFonts w:ascii="Times New Roman" w:cs="Times New Roman" w:eastAsia="Times New Roman" w:hAnsi="Times New Roman"/>
      <w:bCs w:val="1"/>
      <w:sz w:val="24"/>
      <w:szCs w:val="24"/>
    </w:rPr>
  </w:style>
  <w:style w:type="character" w:styleId="ListLabel3" w:customStyle="1">
    <w:name w:val="ListLabel 3"/>
    <w:rPr>
      <w:rFonts w:ascii="Times New Roman" w:cs="Times New Roman" w:eastAsia="Times New Roman" w:hAnsi="Times New Roman"/>
      <w:bCs w:val="1"/>
      <w:sz w:val="24"/>
      <w:szCs w:val="24"/>
    </w:rPr>
  </w:style>
  <w:style w:type="numbering" w:styleId="Bezsaraksta1" w:customStyle="1">
    <w:name w:val="Bez saraksta1"/>
    <w:basedOn w:val="NoList"/>
    <w:pPr>
      <w:numPr>
        <w:numId w:val="1"/>
      </w:numPr>
    </w:pPr>
  </w:style>
  <w:style w:type="numbering" w:styleId="WWNum1" w:customStyle="1">
    <w:name w:val="WWNum1"/>
    <w:basedOn w:val="NoList"/>
    <w:pPr>
      <w:numPr>
        <w:numId w:val="2"/>
      </w:numPr>
    </w:pPr>
  </w:style>
  <w:style w:type="numbering" w:styleId="WWNum2" w:customStyle="1">
    <w:name w:val="WWNum2"/>
    <w:basedOn w:val="NoList"/>
    <w:pPr>
      <w:numPr>
        <w:numId w:val="3"/>
      </w:numPr>
    </w:pPr>
  </w:style>
  <w:style w:type="character" w:styleId="Hyperlink">
    <w:name w:val="Hyperlink"/>
    <w:basedOn w:val="DefaultParagraphFont"/>
    <w:uiPriority w:val="99"/>
    <w:unhideWhenUsed w:val="1"/>
    <w:rsid w:val="006C118B"/>
    <w:rPr>
      <w:color w:val="0563c1" w:themeColor="hyperlink"/>
      <w:u w:val="single"/>
    </w:rPr>
  </w:style>
  <w:style w:type="character" w:styleId="UnresolvedMention1" w:customStyle="1">
    <w:name w:val="Unresolved Mention1"/>
    <w:basedOn w:val="DefaultParagraphFont"/>
    <w:uiPriority w:val="99"/>
    <w:semiHidden w:val="1"/>
    <w:unhideWhenUsed w:val="1"/>
    <w:rsid w:val="006C118B"/>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ktild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6u+1snV6uu+zpggJS0U+0Xqekg==">CgMxLjAyDmguOTI1eWNyZmVscTN6OAByITFmSDFBNkh2bW9KbnJnQVZERFREYkt0UklteWJMNW5zeA==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2023-05-03T08:21:00Z</dcterms:created>
  <dc:creator>Inta</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