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Arāji”, Slampe, Slampes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1-18/64</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novadā saskaņā ar cenu aptaujas noteikumiem, ievērojot Latvijas Republikā spēkā esošās tiesību normas.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deviņdesmit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Namīpašuma kartīte</w:t>
      </w:r>
    </w:p>
    <w:sectPr>
      <w:pgSz w:h="16838" w:w="11906" w:orient="portrait"/>
      <w:pgMar w:bottom="1021" w:top="1021" w:left="1247" w:right="124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Hrcg0Ll2W7U7SuJoGJ8myBemg==">CgMxLjAyDmguanNoMHpyZjRla2JyMg5oLmgwNzRrN3NkdXlpaTgAciExeUt1QURRNFdtT0V1dnJpd05vMk5EMk9LcHhzT1E3UlA=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