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Kopas”, Slampe, Slampes pagastā</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rtl w:val="0"/>
              </w:rPr>
              <w:t xml:space="preserve">, Tukuma novadā, (kadastra apzīmējums 90800110285001);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527,88</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un noteikt  būvei:</w:t>
            </w:r>
          </w:p>
          <w:p w:rsidR="00000000" w:rsidDel="00000000" w:rsidP="00000000" w:rsidRDefault="00000000" w:rsidRPr="00000000" w14:paraId="0000002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9">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B">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3E">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3">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7">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4D">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4E">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0">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4">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6vzvYP6/rbPxmhQazHwJUpO0+Q==">CgMxLjAyDmgubGY5N3p4MzR0ZzczOAByITE4aHYtMXR0T3BXUWRZWnpzMUhvWWN6cFctVGo3aHRLTQ==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