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2.PIELIKUMS</w:t>
      </w:r>
    </w:p>
    <w:p w:rsidR="00000000" w:rsidDel="00000000" w:rsidP="00000000" w:rsidRDefault="00000000" w:rsidRPr="00000000" w14:paraId="00000002">
      <w:pPr>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ENERGOAUDITA UZDEVUMS</w:t>
      </w:r>
    </w:p>
    <w:tbl>
      <w:tblPr>
        <w:tblStyle w:val="Table1"/>
        <w:tblW w:w="93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2340"/>
        <w:gridCol w:w="6383"/>
        <w:tblGridChange w:id="0">
          <w:tblGrid>
            <w:gridCol w:w="603"/>
            <w:gridCol w:w="2340"/>
            <w:gridCol w:w="6383"/>
          </w:tblGrid>
        </w:tblGridChange>
      </w:tblGrid>
      <w:tr>
        <w:trPr>
          <w:cantSplit w:val="0"/>
          <w:tblHeader w:val="1"/>
        </w:trPr>
        <w:tc>
          <w:tcPr>
            <w:shd w:fill="dfdfdf" w:val="clear"/>
          </w:tcPr>
          <w:p w:rsidR="00000000" w:rsidDel="00000000" w:rsidP="00000000" w:rsidRDefault="00000000" w:rsidRPr="00000000" w14:paraId="00000003">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Nr.</w:t>
            </w:r>
          </w:p>
          <w:p w:rsidR="00000000" w:rsidDel="00000000" w:rsidP="00000000" w:rsidRDefault="00000000" w:rsidRPr="00000000" w14:paraId="00000004">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p.k.</w:t>
            </w:r>
          </w:p>
        </w:tc>
        <w:tc>
          <w:tcPr>
            <w:shd w:fill="dfdfdf" w:val="clear"/>
          </w:tcPr>
          <w:p w:rsidR="00000000" w:rsidDel="00000000" w:rsidP="00000000" w:rsidRDefault="00000000" w:rsidRPr="00000000" w14:paraId="00000005">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Priekšmets</w:t>
            </w:r>
          </w:p>
        </w:tc>
        <w:tc>
          <w:tcPr>
            <w:shd w:fill="dfdfdf" w:val="clear"/>
          </w:tcPr>
          <w:p w:rsidR="00000000" w:rsidDel="00000000" w:rsidP="00000000" w:rsidRDefault="00000000" w:rsidRPr="00000000" w14:paraId="00000006">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Nosacījumi</w:t>
            </w:r>
          </w:p>
        </w:tc>
      </w:tr>
      <w:tr>
        <w:trPr>
          <w:cantSplit w:val="0"/>
          <w:tblHeader w:val="0"/>
        </w:trPr>
        <w:tc>
          <w:tcPr>
            <w:shd w:fill="auto" w:val="clear"/>
          </w:tcPr>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Pr>
          <w:p w:rsidR="00000000" w:rsidDel="00000000" w:rsidP="00000000" w:rsidRDefault="00000000" w:rsidRPr="00000000" w14:paraId="00000008">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Iepirkuma priekšmets</w:t>
            </w:r>
          </w:p>
        </w:tc>
        <w:tc>
          <w:tcPr>
            <w:shd w:fill="auto" w:val="clear"/>
          </w:tcPr>
          <w:p w:rsidR="00000000" w:rsidDel="00000000" w:rsidP="00000000" w:rsidRDefault="00000000" w:rsidRPr="00000000" w14:paraId="0000000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sagatavošana daudzdzīvokļu mājai </w:t>
            </w:r>
            <w:r w:rsidDel="00000000" w:rsidR="00000000" w:rsidRPr="00000000">
              <w:rPr>
                <w:rFonts w:ascii="Times New Roman" w:cs="Times New Roman" w:eastAsia="Times New Roman" w:hAnsi="Times New Roman"/>
                <w:sz w:val="24"/>
                <w:szCs w:val="24"/>
                <w:rtl w:val="0"/>
              </w:rPr>
              <w:t xml:space="preserve">“Baloži”, Vienība, Degoles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rtl w:val="0"/>
              </w:rPr>
              <w:t xml:space="preserve">pagasts, Tukuma novadā”</w:t>
            </w:r>
          </w:p>
        </w:tc>
      </w:tr>
      <w:tr>
        <w:trPr>
          <w:cantSplit w:val="0"/>
          <w:tblHeader w:val="0"/>
        </w:trPr>
        <w:tc>
          <w:tcPr>
            <w:shd w:fill="auto" w:val="clear"/>
          </w:tcPr>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Pr>
          <w:p w:rsidR="00000000" w:rsidDel="00000000" w:rsidP="00000000" w:rsidRDefault="00000000" w:rsidRPr="00000000" w14:paraId="0000000B">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“Baloži”, Vienība, Degoles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rtl w:val="0"/>
              </w:rPr>
              <w:t xml:space="preserve">pagasts, Tukuma novads, LV-3140.</w:t>
            </w:r>
          </w:p>
        </w:tc>
      </w:tr>
      <w:tr>
        <w:trPr>
          <w:cantSplit w:val="0"/>
          <w:tblHeader w:val="0"/>
        </w:trPr>
        <w:tc>
          <w:tcPr>
            <w:shd w:fill="auto" w:val="clear"/>
          </w:tcPr>
          <w:p w:rsidR="00000000" w:rsidDel="00000000" w:rsidP="00000000" w:rsidRDefault="00000000" w:rsidRPr="00000000" w14:paraId="0000000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Pr>
          <w:p w:rsidR="00000000" w:rsidDel="00000000" w:rsidP="00000000" w:rsidRDefault="00000000" w:rsidRPr="00000000" w14:paraId="0000000E">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Būves grupa</w:t>
            </w:r>
          </w:p>
        </w:tc>
        <w:tc>
          <w:tcPr>
            <w:shd w:fill="auto" w:val="clear"/>
          </w:tcPr>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shd w:fill="auto" w:val="clear"/>
          </w:tcPr>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Pr>
          <w:p w:rsidR="00000000" w:rsidDel="00000000" w:rsidP="00000000" w:rsidRDefault="00000000" w:rsidRPr="00000000" w14:paraId="00000011">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funkcijas un parametri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māja </w:t>
            </w:r>
            <w:r w:rsidDel="00000000" w:rsidR="00000000" w:rsidRPr="00000000">
              <w:rPr>
                <w:rFonts w:ascii="Times New Roman" w:cs="Times New Roman" w:eastAsia="Times New Roman" w:hAnsi="Times New Roman"/>
                <w:sz w:val="24"/>
                <w:szCs w:val="24"/>
                <w:rtl w:val="0"/>
              </w:rPr>
              <w:t xml:space="preserve">“Baloži”, Vienība, Degoles </w:t>
            </w:r>
            <w:r w:rsidDel="00000000" w:rsidR="00000000" w:rsidRPr="00000000">
              <w:rPr>
                <w:rFonts w:ascii="Times New Roman" w:cs="Times New Roman" w:eastAsia="Times New Roman" w:hAnsi="Times New Roman"/>
                <w:rtl w:val="0"/>
              </w:rPr>
              <w:t xml:space="preserve">pagasts, Tukuma novadā, (kadastra apzīmējums 90460020106001);</w:t>
            </w:r>
          </w:p>
          <w:p w:rsidR="00000000" w:rsidDel="00000000" w:rsidP="00000000" w:rsidRDefault="00000000" w:rsidRPr="00000000" w14:paraId="00000013">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kopēja platība: 753.7 m²</w:t>
            </w:r>
          </w:p>
          <w:p w:rsidR="00000000" w:rsidDel="00000000" w:rsidP="00000000" w:rsidRDefault="00000000" w:rsidRPr="00000000" w14:paraId="00000014">
            <w:pPr>
              <w:spacing w:line="254"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3 virszemes /1 pazemes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Pr>
          <w:p w:rsidR="00000000" w:rsidDel="00000000" w:rsidP="00000000" w:rsidRDefault="00000000" w:rsidRPr="00000000" w14:paraId="00000016">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Darbi</w:t>
            </w:r>
          </w:p>
        </w:tc>
        <w:tc>
          <w:tcPr>
            <w:shd w:fill="auto" w:val="clear"/>
          </w:tcPr>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Izstrādāt ēkas energoauditu un tā pielikumus atbilstoši Ēku energoefektivitātes likuma un Ministru kabineta noteikumu Nr.222 ”Ēku energoefektivitātes aprēķina metodes un ēku energosertifikācijas noteikumi” prasībām.</w:t>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Energoaudits tiks sniegts programmā, kas apstiprināta ar 14.07.2022. Ministru kabineta noteikumiem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w:t>
            </w:r>
          </w:p>
        </w:tc>
      </w:tr>
      <w:tr>
        <w:trPr>
          <w:cantSplit w:val="0"/>
          <w:tblHeader w:val="0"/>
        </w:trPr>
        <w:tc>
          <w:tcPr>
            <w:shd w:fill="auto" w:val="clear"/>
          </w:tcPr>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gridSpan w:val="2"/>
            <w:shd w:fill="auto" w:val="clear"/>
          </w:tcPr>
          <w:p w:rsidR="00000000" w:rsidDel="00000000" w:rsidP="00000000" w:rsidRDefault="00000000" w:rsidRPr="00000000" w14:paraId="0000001A">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Vispārīgas prasības:</w:t>
            </w:r>
          </w:p>
        </w:tc>
      </w:tr>
      <w:tr>
        <w:trPr>
          <w:cantSplit w:val="0"/>
          <w:tblHeader w:val="0"/>
        </w:trPr>
        <w:tc>
          <w:tcPr>
            <w:shd w:fill="auto" w:val="clear"/>
          </w:tcPr>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shd w:fill="auto" w:val="clear"/>
          </w:tcPr>
          <w:p w:rsidR="00000000" w:rsidDel="00000000" w:rsidP="00000000" w:rsidRDefault="00000000" w:rsidRPr="00000000" w14:paraId="0000001D">
            <w:pPr>
              <w:ind w:right="-5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Līguma izpildē jānodrošina neatkarīgs eksperts </w:t>
            </w:r>
            <w:r w:rsidDel="00000000" w:rsidR="00000000" w:rsidRPr="00000000">
              <w:rPr>
                <w:rFonts w:ascii="Times New Roman" w:cs="Times New Roman" w:eastAsia="Times New Roman" w:hAnsi="Times New Roman"/>
                <w:b w:val="1"/>
                <w:color w:val="000000"/>
                <w:rtl w:val="0"/>
              </w:rPr>
              <w:t xml:space="preserve">ēku energoefektivitātes jomā</w:t>
            </w:r>
            <w:r w:rsidDel="00000000" w:rsidR="00000000" w:rsidRPr="00000000">
              <w:rPr>
                <w:rFonts w:ascii="Times New Roman" w:cs="Times New Roman" w:eastAsia="Times New Roman" w:hAnsi="Times New Roman"/>
                <w:color w:val="000000"/>
                <w:rtl w:val="0"/>
              </w:rPr>
              <w:t xml:space="preserve">, kurš atbilst šādām prasībām:</w:t>
            </w:r>
          </w:p>
        </w:tc>
        <w:tc>
          <w:tcPr>
            <w:shd w:fill="auto" w:val="clear"/>
          </w:tcPr>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profesionālajā darbībā nav bijuši būtiski pārkāpumi;</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tā darbība nav bijusi apturēta;</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nav piešķirti pārkāpumu uzskaites punkti;</w:t>
            </w:r>
          </w:p>
          <w:p w:rsidR="00000000" w:rsidDel="00000000" w:rsidP="00000000" w:rsidRDefault="00000000" w:rsidRPr="00000000" w14:paraId="00000021">
            <w:pPr>
              <w:spacing w:after="0" w:line="240" w:lineRule="auto"/>
              <w:ind w:left="-9" w:right="-58" w:firstLine="0"/>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gridSpan w:val="2"/>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58"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Neatkarīga eksperta kompetences prasības. Neatkarīgs eksperts ir tiesīgs noteikt ekspluatējamas ēkas vai tās daļas energoefektivitāti un izsniegt ēkas energosertifikātu vai noteikt projektējamas, rekonstruējamas vai renovējamas ēkas vai tās daļas plānoto energoefektivitāti un izsniegt ēkas pagaidu energosertifikātu, ja tā kvalifikācija atbilst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Ministru kabineta not. nr. 531 ”Noteikumi par neatkarīgu ekspertu kompetences novērtēšanu un profesionālās darbības uzraudzību ēku energoefektivitātes jomā”</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prasībām. Neatkarīgā eksperta sertifikāts ir reģistrēts Būvniecības informācijas sistēmas Neatkarīgu ekspertu reģistrā. Sertifikāta darbība nav apturēta, anulēta vai atzīta par nederīgu.</w:t>
            </w:r>
          </w:p>
        </w:tc>
      </w:tr>
      <w:tr>
        <w:trPr>
          <w:cantSplit w:val="0"/>
          <w:trHeight w:val="2748" w:hRule="atLeast"/>
          <w:tblHeader w:val="0"/>
        </w:trPr>
        <w:tc>
          <w:tcPr>
            <w:shd w:fill="auto" w:val="clear"/>
          </w:tcPr>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Pr>
          <w:p w:rsidR="00000000" w:rsidDel="00000000" w:rsidP="00000000" w:rsidRDefault="00000000" w:rsidRPr="00000000" w14:paraId="00000026">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Darba uzdevums </w:t>
            </w:r>
          </w:p>
          <w:p w:rsidR="00000000" w:rsidDel="00000000" w:rsidP="00000000" w:rsidRDefault="00000000" w:rsidRPr="00000000" w14:paraId="00000027">
            <w:pPr>
              <w:spacing w:line="276" w:lineRule="auto"/>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28">
            <w:pPr>
              <w:pStyle w:val="Heading3"/>
              <w:keepNext w:val="0"/>
              <w:numPr>
                <w:ilvl w:val="0"/>
                <w:numId w:val="2"/>
              </w:numPr>
              <w:spacing w:after="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un tās inženiertehnisko sistēmu apsekojuma dokumentāciju, ēkas energoauditu un tā pielikumus tādā apjomā un kvalitātē, lai Pasūtītājs tos varētu izmantot ēkas atjaunošanas dokumentācijas sagatavošanai un darbu veikšanai (Altum un rīkot iepirkumu procedūru par ēkas atjaunošanas darbu veikšanu). </w:t>
            </w:r>
            <w:r w:rsidDel="00000000" w:rsidR="00000000" w:rsidRPr="00000000">
              <w:rPr>
                <w:rtl w:val="0"/>
              </w:rPr>
            </w:r>
          </w:p>
          <w:p w:rsidR="00000000" w:rsidDel="00000000" w:rsidP="00000000" w:rsidRDefault="00000000" w:rsidRPr="00000000" w14:paraId="00000029">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 izstrādāts ēkas Energoaudits un tā pielikumi iesniegšanai Altum,  atbalsta saņemšanai;</w:t>
            </w:r>
            <w:r w:rsidDel="00000000" w:rsidR="00000000" w:rsidRPr="00000000">
              <w:rPr>
                <w:rtl w:val="0"/>
              </w:rPr>
            </w:r>
          </w:p>
          <w:p w:rsidR="00000000" w:rsidDel="00000000" w:rsidP="00000000" w:rsidRDefault="00000000" w:rsidRPr="00000000" w14:paraId="0000002A">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Nepieciešams veikt ēku nesošo un norobežojošo konstrukciju, kā arī ēkas inženiertehnisko sistēmu apsekošanu dabā, veicot apsekojuma fotofiksācijas un nepieciešamos konstrukciju (tostarp logu izmēru) mērījumus. Ēkas e</w:t>
            </w:r>
            <w:r w:rsidDel="00000000" w:rsidR="00000000" w:rsidRPr="00000000">
              <w:rPr>
                <w:rFonts w:ascii="Times New Roman" w:cs="Times New Roman" w:eastAsia="Times New Roman" w:hAnsi="Times New Roman"/>
                <w:sz w:val="22"/>
                <w:szCs w:val="22"/>
                <w:rtl w:val="0"/>
              </w:rPr>
              <w:t xml:space="preserve">nergoaudita</w:t>
            </w:r>
            <w:r w:rsidDel="00000000" w:rsidR="00000000" w:rsidRPr="00000000">
              <w:rPr>
                <w:rFonts w:ascii="Times New Roman" w:cs="Times New Roman" w:eastAsia="Times New Roman" w:hAnsi="Times New Roman"/>
                <w:color w:val="000000"/>
                <w:sz w:val="22"/>
                <w:szCs w:val="22"/>
                <w:rtl w:val="0"/>
              </w:rPr>
              <w:t xml:space="preserve"> aprēķina vērtības un pārējā informācija (attēli tml.) tiek norādīta tā pielikumā. Foto dokumentācija elektroniskā formātā var būt lielākā skaitā nekā sagatavotajos dokumentos;</w:t>
            </w:r>
            <w:r w:rsidDel="00000000" w:rsidR="00000000" w:rsidRPr="00000000">
              <w:rPr>
                <w:rtl w:val="0"/>
              </w:rPr>
            </w:r>
          </w:p>
          <w:p w:rsidR="00000000" w:rsidDel="00000000" w:rsidP="00000000" w:rsidRDefault="00000000" w:rsidRPr="00000000" w14:paraId="0000002B">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nodrošina atbildes uz Altum komentāriem un veic nepieciešamās korekcijas izstrādātājā energoauditā un atbilstošajos pielikumos.</w:t>
            </w:r>
            <w:r w:rsidDel="00000000" w:rsidR="00000000" w:rsidRPr="00000000">
              <w:rPr>
                <w:rtl w:val="0"/>
              </w:rPr>
            </w:r>
          </w:p>
          <w:p w:rsidR="00000000" w:rsidDel="00000000" w:rsidP="00000000" w:rsidRDefault="00000000" w:rsidRPr="00000000" w14:paraId="0000002C">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ņem vērā Altum metodiskos materiālus tehniskās dokumentācijas izstrādei un sagatavošanai.</w:t>
            </w:r>
            <w:r w:rsidDel="00000000" w:rsidR="00000000" w:rsidRPr="00000000">
              <w:rPr>
                <w:rtl w:val="0"/>
              </w:rPr>
            </w:r>
          </w:p>
          <w:p w:rsidR="00000000" w:rsidDel="00000000" w:rsidP="00000000" w:rsidRDefault="00000000" w:rsidRPr="00000000" w14:paraId="0000002D">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Izpildītājam ņem vērā un par saviem līdzekļiem novērš Pasūtītāja norādītās neprecizitātes un trūkumus.</w:t>
            </w:r>
            <w:r w:rsidDel="00000000" w:rsidR="00000000" w:rsidRPr="00000000">
              <w:rPr>
                <w:rtl w:val="0"/>
              </w:rPr>
            </w:r>
          </w:p>
          <w:p w:rsidR="00000000" w:rsidDel="00000000" w:rsidP="00000000" w:rsidRDefault="00000000" w:rsidRPr="00000000" w14:paraId="0000002E">
            <w:pPr>
              <w:pStyle w:val="Heading3"/>
              <w:keepNext w:val="0"/>
              <w:numPr>
                <w:ilvl w:val="0"/>
                <w:numId w:val="2"/>
              </w:numPr>
              <w:spacing w:before="0" w:lineRule="auto"/>
              <w:ind w:left="351"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termogrāfiju un pievienot tās izdruku energoauditam.</w:t>
            </w:r>
          </w:p>
        </w:tc>
      </w:tr>
      <w:tr>
        <w:trPr>
          <w:cantSplit w:val="0"/>
          <w:tblHeader w:val="0"/>
        </w:trPr>
        <w:tc>
          <w:tcPr>
            <w:shd w:fill="auto" w:val="clear"/>
          </w:tcPr>
          <w:p w:rsidR="00000000" w:rsidDel="00000000" w:rsidP="00000000" w:rsidRDefault="00000000" w:rsidRPr="00000000" w14:paraId="0000002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Saskaņā ar MK noteikumiem Nr. 222 ēkai izstrādātais Energoaudits satur pielikumus, kuros iekļauti priekšlikumi un norādes par pasākumiem ēkas energoefektivitātes uzlabošanai: </w:t>
            </w:r>
          </w:p>
          <w:p w:rsidR="00000000" w:rsidDel="00000000" w:rsidP="00000000" w:rsidRDefault="00000000" w:rsidRPr="00000000" w14:paraId="00000031">
            <w:pPr>
              <w:spacing w:line="276" w:lineRule="auto"/>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priekšlikumi par pasākumiem, kas ir tehniski iespējami konkrētajai ēkai;</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ieteiktie energoefektivitātes paaugstināšanas pasākumi, to apraksts un sasniedzamais rādītājs, norādot nepieciešamās mērvienības;</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ieteikto pasākumu plānotais piegādātās enerģijas ietaupījums, īpatnējais enerģijas ietaupījums uz ēku;</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ieteikto energoefektivitātes paaugstināšanas pasākumu plānotās īstenošanas izmaksas (var norādīt arī pasākuma izmaksu atmaksāšanās laiku);</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ja ēkai īstenotais priekšlikums palielina vai samazina arī kādas citas energosistēmas patēriņu, attiecīgo patēriņu atsevišķi norāda ar attiecīgi pozitīvu vai negatīvu zīmi;</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alternatīvu priekšlikumu varianti, tos attiecīgi apzīmē ar EPC, EPC+ un EPC++. Alternatīvu apraksts sniegts Pārskats par enerģijas bāzes līniju un ietaupījumiem. Ja nepieciešams, paskaidro.</w:t>
            </w:r>
          </w:p>
        </w:tc>
      </w:tr>
      <w:tr>
        <w:trPr>
          <w:cantSplit w:val="0"/>
          <w:tblHeader w:val="0"/>
        </w:trPr>
        <w:tc>
          <w:tcPr>
            <w:shd w:fill="auto" w:val="clear"/>
          </w:tcPr>
          <w:p w:rsidR="00000000" w:rsidDel="00000000" w:rsidP="00000000" w:rsidRDefault="00000000" w:rsidRPr="00000000" w14:paraId="0000003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Pr>
          <w:p w:rsidR="00000000" w:rsidDel="00000000" w:rsidP="00000000" w:rsidRDefault="00000000" w:rsidRPr="00000000" w14:paraId="00000039">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Dokumenti</w:t>
            </w:r>
          </w:p>
        </w:tc>
        <w:tc>
          <w:tcPr>
            <w:shd w:fill="auto" w:val="clear"/>
          </w:tcPr>
          <w:p w:rsidR="00000000" w:rsidDel="00000000" w:rsidP="00000000" w:rsidRDefault="00000000" w:rsidRPr="00000000" w14:paraId="0000003A">
            <w:pPr>
              <w:pStyle w:val="Heading3"/>
              <w:keepNext w:val="0"/>
              <w:spacing w:before="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(energoauditoram) jāizstrādā un Pasūtītājam jāiesniedz:</w:t>
            </w:r>
          </w:p>
          <w:p w:rsidR="00000000" w:rsidDel="00000000" w:rsidP="00000000" w:rsidRDefault="00000000" w:rsidRPr="00000000" w14:paraId="0000003B">
            <w:pPr>
              <w:pStyle w:val="Heading3"/>
              <w:keepNext w:val="0"/>
              <w:numPr>
                <w:ilvl w:val="0"/>
                <w:numId w:val="4"/>
              </w:numPr>
              <w:spacing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Ēkas energoaudits (ēkas energosertifikāts un ēkas pagaidu energosertifikāts); </w:t>
            </w:r>
          </w:p>
          <w:p w:rsidR="00000000" w:rsidDel="00000000" w:rsidP="00000000" w:rsidRDefault="00000000" w:rsidRPr="00000000" w14:paraId="0000003C">
            <w:pPr>
              <w:pStyle w:val="Heading3"/>
              <w:keepNext w:val="0"/>
              <w:numPr>
                <w:ilvl w:val="0"/>
                <w:numId w:val="4"/>
              </w:numPr>
              <w:spacing w:after="0"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Pārskats par ekonomiski pamatotiem energoefektivitāti uzlabojošiem pasākumiem, kuru īstenošanas izmaksas ir rentablas paredzamajā (plānotajā) kalpošanas laikā. Katrai no alternatīvam trīs alternatīvām (EPC, EPC+ un EPC++ atsevišķi);</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14" w:right="0" w:hanging="31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Pārskats par ēkas energoaudita aprēķinos izmantotajām ievaddatu vērtībām; </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14" w:right="0" w:hanging="31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Pārskats par enerģijas bāzes līniju un ietaupījumiem. </w:t>
            </w:r>
          </w:p>
        </w:tc>
      </w:tr>
      <w:tr>
        <w:trPr>
          <w:cantSplit w:val="0"/>
          <w:tblHeader w:val="0"/>
        </w:trPr>
        <w:tc>
          <w:tcPr>
            <w:shd w:fill="auto" w:val="clear"/>
          </w:tcPr>
          <w:p w:rsidR="00000000" w:rsidDel="00000000" w:rsidP="00000000" w:rsidRDefault="00000000" w:rsidRPr="00000000" w14:paraId="0000003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Pr>
          <w:p w:rsidR="00000000" w:rsidDel="00000000" w:rsidP="00000000" w:rsidRDefault="00000000" w:rsidRPr="00000000" w14:paraId="00000040">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Energoaudita nodošana</w:t>
            </w:r>
          </w:p>
        </w:tc>
        <w:tc>
          <w:tcPr>
            <w:shd w:fill="auto" w:val="clear"/>
          </w:tcPr>
          <w:p w:rsidR="00000000" w:rsidDel="00000000" w:rsidP="00000000" w:rsidRDefault="00000000" w:rsidRPr="00000000" w14:paraId="00000041">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Dokumentu sagatavot būvniecības informācijas sistēmā (BIS);</w:t>
            </w:r>
          </w:p>
          <w:p w:rsidR="00000000" w:rsidDel="00000000" w:rsidP="00000000" w:rsidRDefault="00000000" w:rsidRPr="00000000" w14:paraId="00000042">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energoaudita un tā pielikumus 2 (divos) izdrukātos eksemplāros;</w:t>
            </w:r>
          </w:p>
          <w:p w:rsidR="00000000" w:rsidDel="00000000" w:rsidP="00000000" w:rsidRDefault="00000000" w:rsidRPr="00000000" w14:paraId="00000043">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formātā – energoaudits ar visiem pielikumiem. Iesniegt CD diskā un nosūtīt uz e-pastu: </w:t>
            </w:r>
            <w:hyperlink r:id="rId7">
              <w:r w:rsidDel="00000000" w:rsidR="00000000" w:rsidRPr="00000000">
                <w:rPr>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tl w:val="0"/>
        </w:rPr>
      </w:r>
    </w:p>
    <w:tbl>
      <w:tblPr>
        <w:tblStyle w:val="Table2"/>
        <w:tblW w:w="9354.0" w:type="dxa"/>
        <w:jc w:val="left"/>
        <w:tblLayout w:type="fixed"/>
        <w:tblLook w:val="0400"/>
      </w:tblPr>
      <w:tblGrid>
        <w:gridCol w:w="9354"/>
        <w:tblGridChange w:id="0">
          <w:tblGrid>
            <w:gridCol w:w="9354"/>
          </w:tblGrid>
        </w:tblGridChange>
      </w:tblGrid>
      <w:tr>
        <w:trPr>
          <w:cantSplit w:val="0"/>
          <w:tblHeader w:val="0"/>
        </w:trPr>
        <w:tc>
          <w:tcPr>
            <w:shd w:fill="auto" w:val="clear"/>
          </w:tcPr>
          <w:p w:rsidR="00000000" w:rsidDel="00000000" w:rsidP="00000000" w:rsidRDefault="00000000" w:rsidRPr="00000000" w14:paraId="00000046">
            <w:pPr>
              <w:rPr>
                <w:rFonts w:ascii="Times New Roman" w:cs="Times New Roman" w:eastAsia="Times New Roman" w:hAnsi="Times New Roman"/>
              </w:rPr>
            </w:pPr>
            <w:bookmarkStart w:colFirst="0" w:colLast="0" w:name="_heading=h.mdzzdesjtcow" w:id="0"/>
            <w:bookmarkEnd w:id="0"/>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shd w:fill="auto" w:val="clea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[pārstāvēttiesīgās personas paraksts:] _________________________________________</w:t>
            </w:r>
          </w:p>
        </w:tc>
      </w:tr>
      <w:tr>
        <w:trPr>
          <w:cantSplit w:val="0"/>
          <w:trHeight w:val="499" w:hRule="atLeast"/>
          <w:tblHeader w:val="0"/>
        </w:trPr>
        <w:tc>
          <w:tcPr>
            <w:shd w:fill="auto" w:val="clear"/>
          </w:tcPr>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[pārstāvēttiesīgās personas amats, vārds un uzvārds:] ____________________________</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pgSz w:h="16838" w:w="11906" w:orient="portrait"/>
      <w:pgMar w:bottom="1440" w:top="709"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D97708"/>
    <w:rPr>
      <w:rFonts w:asciiTheme="majorHAnsi" w:cstheme="majorBidi" w:eastAsiaTheme="majorEastAsia" w:hAnsiTheme="majorHAnsi"/>
      <w:color w:val="1f3763" w:themeColor="accent1" w:themeShade="00007F"/>
      <w:kern w:val="0"/>
      <w:sz w:val="24"/>
      <w:szCs w:val="24"/>
    </w:rPr>
  </w:style>
  <w:style w:type="paragraph" w:styleId="ListParagraph">
    <w:name w:val="List Paragraph"/>
    <w:aliases w:val="2,H&amp;P List Paragraph"/>
    <w:basedOn w:val="Normal"/>
    <w:link w:val="ListParagraphChar"/>
    <w:uiPriority w:val="34"/>
    <w:qFormat w:val="1"/>
    <w:rsid w:val="00D97708"/>
    <w:pPr>
      <w:ind w:left="720"/>
      <w:contextualSpacing w:val="1"/>
    </w:pPr>
  </w:style>
  <w:style w:type="character" w:styleId="Hyperlink">
    <w:name w:val="Hyperlink"/>
    <w:basedOn w:val="DefaultParagraphFont"/>
    <w:uiPriority w:val="99"/>
    <w:unhideWhenUsed w:val="1"/>
    <w:rsid w:val="00D97708"/>
    <w:rPr>
      <w:color w:val="0563c1" w:themeColor="hyperlink"/>
      <w:u w:val="single"/>
    </w:rPr>
  </w:style>
  <w:style w:type="paragraph" w:styleId="NormalWeb">
    <w:name w:val="Normal (Web)"/>
    <w:basedOn w:val="Normal"/>
    <w:uiPriority w:val="99"/>
    <w:unhideWhenUsed w:val="1"/>
    <w:rsid w:val="00D97708"/>
    <w:pPr>
      <w:spacing w:after="100" w:afterAutospacing="1" w:before="100" w:beforeAutospacing="1" w:line="240" w:lineRule="auto"/>
      <w:jc w:val="both"/>
    </w:pPr>
    <w:rPr>
      <w:rFonts w:ascii="Times New Roman" w:cs="Times New Roman" w:eastAsia="Times New Roman" w:hAnsi="Times New Roman"/>
      <w:sz w:val="24"/>
      <w:szCs w:val="24"/>
      <w:lang w:val="en-GB"/>
    </w:rPr>
  </w:style>
  <w:style w:type="character" w:styleId="ListParagraphChar" w:customStyle="1">
    <w:name w:val="List Paragraph Char"/>
    <w:aliases w:val="2 Char,H&amp;P List Paragraph Char"/>
    <w:link w:val="ListParagraph"/>
    <w:uiPriority w:val="34"/>
    <w:locked w:val="1"/>
    <w:rsid w:val="00D97708"/>
    <w:rPr>
      <w:kern w:val="0"/>
    </w:rPr>
  </w:style>
  <w:style w:type="character" w:styleId="gray" w:customStyle="1">
    <w:name w:val="gray"/>
    <w:rsid w:val="00D97708"/>
  </w:style>
  <w:style w:type="character" w:styleId="UnresolvedMention">
    <w:name w:val="Unresolved Mention"/>
    <w:basedOn w:val="DefaultParagraphFont"/>
    <w:uiPriority w:val="99"/>
    <w:semiHidden w:val="1"/>
    <w:unhideWhenUsed w:val="1"/>
    <w:rsid w:val="00D77104"/>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zEXCr55+0OJgCxFLozw/FEKQQ==">CgMxLjAyDmgubWR6emRlc2p0Y293OAByITFnRWdIb2w1UjNXdlJiRUM5WW40a1lSTUlJU0tSSlZDTA==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2024-05-27T06:22:00Z</dcterms:created>
  <dc:creator>Gunda.Cirule</dc:creator>
</cp:coreProperties>
</file>