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“Gobas”, Lestene, Lestenes pagastā</w:t>
            </w:r>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1-18/67</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sz w:val="24"/>
          <w:szCs w:val="24"/>
          <w:u w:val="single"/>
          <w:rtl w:val="0"/>
        </w:rPr>
        <w:t xml:space="preserve">“Gobas”, Lestene, Lestenes pagastā, </w:t>
      </w:r>
      <w:r w:rsidDel="00000000" w:rsidR="00000000" w:rsidRPr="00000000">
        <w:rPr>
          <w:rFonts w:ascii="Times New Roman" w:cs="Times New Roman" w:eastAsia="Times New Roman" w:hAnsi="Times New Roman"/>
          <w:b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j2loHW1+t4diazxf8fXAZjXw6w==">CgMxLjA4AHIhMVRLQ0ZDRHAtRUp0UndXRDZlUVkwNnZhZlU3UDg0UFhv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