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1DD1E13E"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mājas </w:t>
      </w:r>
      <w:r w:rsidR="008C07EF" w:rsidRPr="008C07EF">
        <w:rPr>
          <w:rFonts w:ascii="Times New Roman" w:hAnsi="Times New Roman" w:cs="Times New Roman"/>
          <w:b/>
          <w:sz w:val="24"/>
          <w:szCs w:val="24"/>
        </w:rPr>
        <w:t>“</w:t>
      </w:r>
      <w:proofErr w:type="spellStart"/>
      <w:r w:rsidR="001043C9">
        <w:rPr>
          <w:rFonts w:ascii="Times New Roman" w:hAnsi="Times New Roman" w:cs="Times New Roman"/>
          <w:b/>
          <w:sz w:val="24"/>
          <w:szCs w:val="24"/>
        </w:rPr>
        <w:t>Ciruļi</w:t>
      </w:r>
      <w:proofErr w:type="spellEnd"/>
      <w:r w:rsidR="008C07EF" w:rsidRPr="008C07EF">
        <w:rPr>
          <w:rFonts w:ascii="Times New Roman" w:hAnsi="Times New Roman" w:cs="Times New Roman"/>
          <w:b/>
          <w:sz w:val="24"/>
          <w:szCs w:val="24"/>
        </w:rPr>
        <w:t xml:space="preserve">”, </w:t>
      </w:r>
      <w:proofErr w:type="spellStart"/>
      <w:r w:rsidR="008C07EF" w:rsidRPr="008C07EF">
        <w:rPr>
          <w:rFonts w:ascii="Times New Roman" w:hAnsi="Times New Roman" w:cs="Times New Roman"/>
          <w:b/>
          <w:sz w:val="24"/>
          <w:szCs w:val="24"/>
        </w:rPr>
        <w:t>Lancenieki</w:t>
      </w:r>
      <w:proofErr w:type="spellEnd"/>
      <w:r w:rsidR="008C07EF" w:rsidRPr="008C07EF">
        <w:rPr>
          <w:rFonts w:ascii="Times New Roman" w:hAnsi="Times New Roman" w:cs="Times New Roman"/>
          <w:b/>
          <w:sz w:val="24"/>
          <w:szCs w:val="24"/>
        </w:rPr>
        <w:t>, Džūkstes</w:t>
      </w:r>
      <w:r w:rsidR="00A94B73">
        <w:rPr>
          <w:rFonts w:ascii="Times New Roman" w:hAnsi="Times New Roman" w:cs="Times New Roman"/>
          <w:b/>
          <w:sz w:val="24"/>
          <w:szCs w:val="24"/>
        </w:rPr>
        <w:t xml:space="preserve"> </w:t>
      </w:r>
      <w:r>
        <w:rPr>
          <w:rFonts w:ascii="Times New Roman" w:hAnsi="Times New Roman" w:cs="Times New Roman"/>
          <w:b/>
        </w:rPr>
        <w:t xml:space="preserve">pagastā, Tukuma novadā </w:t>
      </w:r>
      <w:r>
        <w:rPr>
          <w:rFonts w:ascii="Times New Roman" w:hAnsi="Times New Roman" w:cs="Times New Roman"/>
          <w:b/>
          <w:lang w:eastAsia="ru-RU"/>
        </w:rPr>
        <w:t>tehniskai apsekošanai: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w:t>
      </w:r>
      <w:proofErr w:type="gramStart"/>
      <w:r>
        <w:rPr>
          <w:rFonts w:ascii="Times New Roman" w:hAnsi="Times New Roman" w:cs="Times New Roman"/>
          <w:lang w:eastAsia="ru-RU"/>
        </w:rPr>
        <w:t>2014.gada</w:t>
      </w:r>
      <w:proofErr w:type="gramEnd"/>
      <w:r>
        <w:rPr>
          <w:rFonts w:ascii="Times New Roman" w:hAnsi="Times New Roman" w:cs="Times New Roman"/>
          <w:lang w:eastAsia="ru-RU"/>
        </w:rPr>
        <w:t xml:space="preserve"> 19.augusta Ministru kabineta noteikumiem Nr.502 „Noteikumi par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un būvdarbu veicēju civiltiesiskās atbildības obligāto apdrošināšanu”, izstrādātājiem obligāti jābūt apdrošinātiem 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15934E71" w:rsidR="0030766A" w:rsidRDefault="008C07EF">
            <w:pPr>
              <w:rPr>
                <w:rFonts w:ascii="Times New Roman" w:hAnsi="Times New Roman" w:cs="Times New Roman"/>
                <w:bCs/>
                <w:kern w:val="2"/>
                <w14:ligatures w14:val="standardContextual"/>
              </w:rPr>
            </w:pPr>
            <w:r>
              <w:rPr>
                <w:rFonts w:ascii="Times New Roman" w:hAnsi="Times New Roman" w:cs="Times New Roman"/>
                <w:bCs/>
                <w:sz w:val="24"/>
                <w:szCs w:val="24"/>
              </w:rPr>
              <w:t>“</w:t>
            </w:r>
            <w:r w:rsidR="001043C9">
              <w:rPr>
                <w:rFonts w:ascii="Times New Roman" w:hAnsi="Times New Roman" w:cs="Times New Roman"/>
                <w:bCs/>
                <w:sz w:val="24"/>
                <w:szCs w:val="24"/>
              </w:rPr>
              <w:t>Cīruļi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Lancenieki</w:t>
            </w:r>
            <w:proofErr w:type="spellEnd"/>
            <w:r>
              <w:rPr>
                <w:rFonts w:ascii="Times New Roman" w:hAnsi="Times New Roman" w:cs="Times New Roman"/>
                <w:bCs/>
                <w:sz w:val="24"/>
                <w:szCs w:val="24"/>
              </w:rPr>
              <w:t>, Džūkstes</w:t>
            </w:r>
            <w:r>
              <w:rPr>
                <w:rFonts w:ascii="Times New Roman" w:hAnsi="Times New Roman" w:cs="Times New Roman"/>
                <w:b/>
                <w:sz w:val="24"/>
                <w:szCs w:val="24"/>
              </w:rPr>
              <w:t xml:space="preserve"> </w:t>
            </w:r>
            <w:r w:rsidR="0030766A">
              <w:rPr>
                <w:rFonts w:ascii="Times New Roman" w:hAnsi="Times New Roman" w:cs="Times New Roman"/>
                <w:bCs/>
                <w:kern w:val="2"/>
                <w14:ligatures w14:val="standardContextual"/>
              </w:rPr>
              <w:t>pagasts, Tukuma novads, LV-31</w:t>
            </w:r>
            <w:r w:rsidR="002B1D5C">
              <w:rPr>
                <w:rFonts w:ascii="Times New Roman" w:hAnsi="Times New Roman" w:cs="Times New Roman"/>
                <w:bCs/>
                <w:kern w:val="2"/>
                <w14:ligatures w14:val="standardContextual"/>
              </w:rPr>
              <w:t>4</w:t>
            </w:r>
            <w:r>
              <w:rPr>
                <w:rFonts w:ascii="Times New Roman" w:hAnsi="Times New Roman" w:cs="Times New Roman"/>
                <w:bCs/>
                <w:kern w:val="2"/>
                <w14:ligatures w14:val="standardContextual"/>
              </w:rPr>
              <w:t>7</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5A7CCEEC"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māja </w:t>
            </w:r>
            <w:r w:rsidR="008C07EF">
              <w:rPr>
                <w:rFonts w:ascii="Times New Roman" w:hAnsi="Times New Roman" w:cs="Times New Roman"/>
                <w:bCs/>
                <w:sz w:val="24"/>
                <w:szCs w:val="24"/>
              </w:rPr>
              <w:t>“</w:t>
            </w:r>
            <w:r w:rsidR="001043C9">
              <w:rPr>
                <w:rFonts w:ascii="Times New Roman" w:hAnsi="Times New Roman" w:cs="Times New Roman"/>
                <w:bCs/>
                <w:sz w:val="24"/>
                <w:szCs w:val="24"/>
              </w:rPr>
              <w:t>Cīruļi</w:t>
            </w:r>
            <w:r w:rsidR="008C07EF">
              <w:rPr>
                <w:rFonts w:ascii="Times New Roman" w:hAnsi="Times New Roman" w:cs="Times New Roman"/>
                <w:bCs/>
                <w:sz w:val="24"/>
                <w:szCs w:val="24"/>
              </w:rPr>
              <w:t xml:space="preserve">”, </w:t>
            </w:r>
            <w:proofErr w:type="spellStart"/>
            <w:r w:rsidR="008C07EF">
              <w:rPr>
                <w:rFonts w:ascii="Times New Roman" w:hAnsi="Times New Roman" w:cs="Times New Roman"/>
                <w:bCs/>
                <w:sz w:val="24"/>
                <w:szCs w:val="24"/>
              </w:rPr>
              <w:t>Lancenieki</w:t>
            </w:r>
            <w:proofErr w:type="spellEnd"/>
            <w:r w:rsidR="008C07EF">
              <w:rPr>
                <w:rFonts w:ascii="Times New Roman" w:hAnsi="Times New Roman" w:cs="Times New Roman"/>
                <w:bCs/>
                <w:sz w:val="24"/>
                <w:szCs w:val="24"/>
              </w:rPr>
              <w:t>, Džūkstes</w:t>
            </w:r>
            <w:r w:rsidR="002B1D5C">
              <w:rPr>
                <w:rFonts w:ascii="Times New Roman" w:hAnsi="Times New Roman" w:cs="Times New Roman"/>
                <w:bCs/>
                <w:sz w:val="24"/>
                <w:szCs w:val="24"/>
              </w:rPr>
              <w:t xml:space="preserve"> </w:t>
            </w:r>
            <w:r w:rsidR="0030766A">
              <w:rPr>
                <w:rFonts w:ascii="Times New Roman" w:hAnsi="Times New Roman" w:cs="Times New Roman"/>
                <w:bCs/>
                <w:kern w:val="2"/>
                <w14:ligatures w14:val="standardContextual"/>
              </w:rPr>
              <w:t>pagasts, Tukuma novadā, (kadastra apzīmējums 90</w:t>
            </w:r>
            <w:r w:rsidR="008C07EF">
              <w:rPr>
                <w:rFonts w:ascii="Times New Roman" w:hAnsi="Times New Roman" w:cs="Times New Roman"/>
                <w:bCs/>
                <w:kern w:val="2"/>
                <w14:ligatures w14:val="standardContextual"/>
              </w:rPr>
              <w:t>48003027</w:t>
            </w:r>
            <w:r w:rsidR="001043C9">
              <w:rPr>
                <w:rFonts w:ascii="Times New Roman" w:hAnsi="Times New Roman" w:cs="Times New Roman"/>
                <w:bCs/>
                <w:kern w:val="2"/>
                <w14:ligatures w14:val="standardContextual"/>
              </w:rPr>
              <w:t>0</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1A4FFD0F"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1043C9">
              <w:rPr>
                <w:rFonts w:ascii="Times New Roman" w:hAnsi="Times New Roman" w:cs="Times New Roman"/>
                <w:bCs/>
                <w:kern w:val="2"/>
                <w14:ligatures w14:val="standardContextual"/>
              </w:rPr>
              <w:t>1741.70</w:t>
            </w:r>
            <w:r>
              <w:rPr>
                <w:rFonts w:ascii="Times New Roman" w:hAnsi="Times New Roman" w:cs="Times New Roman"/>
                <w:bCs/>
                <w:kern w:val="2"/>
                <w14:ligatures w14:val="standardContextual"/>
              </w:rPr>
              <w:t xml:space="preserve"> m²</w:t>
            </w:r>
          </w:p>
          <w:p w14:paraId="01F4BB74" w14:textId="133BE35F"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1043C9">
              <w:rPr>
                <w:rFonts w:ascii="Times New Roman" w:hAnsi="Times New Roman" w:cs="Times New Roman"/>
                <w:bCs/>
                <w:kern w:val="2"/>
                <w14:ligatures w14:val="standardContextual"/>
              </w:rPr>
              <w:t>3</w:t>
            </w:r>
            <w:r w:rsidR="0030766A">
              <w:rPr>
                <w:rFonts w:ascii="Times New Roman" w:hAnsi="Times New Roman" w:cs="Times New Roman"/>
                <w:bCs/>
                <w:kern w:val="2"/>
                <w14:ligatures w14:val="standardContextual"/>
              </w:rPr>
              <w:t xml:space="preserve"> virszemes </w:t>
            </w:r>
            <w:r w:rsidR="001043C9">
              <w:rPr>
                <w:rFonts w:ascii="Times New Roman" w:hAnsi="Times New Roman" w:cs="Times New Roman"/>
                <w:bCs/>
                <w:kern w:val="2"/>
                <w14:ligatures w14:val="standardContextual"/>
              </w:rPr>
              <w:t>/1pazemes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 Būves turpmākajai ekspluatācijai, pēc atsevišķi izstrādāta un Latvijas Republikas būvnormatīvos noteiktā kārtībā akceptētas būvniecības dokumentācijas</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 Apsekošanas mērķis ir noteikt atbilstību būves būtiskajam prasībām (atbilstoši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1.Veikt dzīvojamās mājas tehnisko apsekošanu un atzinuma sastādīšanu</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w:t>
            </w:r>
            <w:proofErr w:type="gramStart"/>
            <w:r>
              <w:rPr>
                <w:rFonts w:ascii="Times New Roman" w:hAnsi="Times New Roman" w:cs="Times New Roman"/>
                <w:kern w:val="2"/>
                <w14:ligatures w14:val="standardContextual"/>
              </w:rPr>
              <w:t xml:space="preserve">  </w:t>
            </w:r>
            <w:proofErr w:type="gramEnd"/>
            <w:r>
              <w:rPr>
                <w:rFonts w:ascii="Times New Roman" w:hAnsi="Times New Roman" w:cs="Times New Roman"/>
                <w:kern w:val="2"/>
                <w14:ligatures w14:val="standardContextual"/>
              </w:rPr>
              <w:t>(pamatu,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1.3. Norobežojošo konstrukciju </w:t>
            </w:r>
            <w:proofErr w:type="spellStart"/>
            <w:r>
              <w:rPr>
                <w:rFonts w:ascii="Times New Roman" w:hAnsi="Times New Roman" w:cs="Times New Roman"/>
                <w:kern w:val="2"/>
                <w14:ligatures w14:val="standardContextual"/>
              </w:rPr>
              <w:t>siltumcaurlaidību</w:t>
            </w:r>
            <w:proofErr w:type="spellEnd"/>
            <w:r>
              <w:rPr>
                <w:rFonts w:ascii="Times New Roman" w:hAnsi="Times New Roman" w:cs="Times New Roman"/>
                <w:kern w:val="2"/>
                <w14:ligatures w14:val="standardContextual"/>
              </w:rPr>
              <w:t>.</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1.6. Apsekošanas laikā izstrādāt grafiskos materiālus (mezglus, shēmas), kuros norāda ēkas daļu, konstrukciju izmērus, pielietotos celtniecības </w:t>
            </w:r>
            <w:proofErr w:type="gramStart"/>
            <w:r>
              <w:rPr>
                <w:rFonts w:ascii="Times New Roman" w:hAnsi="Times New Roman" w:cs="Times New Roman"/>
                <w:kern w:val="2"/>
                <w:lang w:eastAsia="ru-RU"/>
                <w14:ligatures w14:val="standardContextual"/>
              </w:rPr>
              <w:t>materiālus un tehniskos</w:t>
            </w:r>
            <w:proofErr w:type="gramEnd"/>
            <w:r>
              <w:rPr>
                <w:rFonts w:ascii="Times New Roman" w:hAnsi="Times New Roman" w:cs="Times New Roman"/>
                <w:kern w:val="2"/>
                <w:lang w:eastAsia="ru-RU"/>
                <w14:ligatures w14:val="standardContextual"/>
              </w:rPr>
              <w:t xml:space="preserve">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w:t>
            </w:r>
            <w:proofErr w:type="gramStart"/>
            <w:r>
              <w:rPr>
                <w:rFonts w:ascii="Times New Roman" w:hAnsi="Times New Roman" w:cs="Times New Roman"/>
                <w:kern w:val="2"/>
                <w:lang w:eastAsia="ru-RU"/>
                <w14:ligatures w14:val="standardContextual"/>
              </w:rPr>
              <w:t>1.7. punktos prasītajam</w:t>
            </w:r>
            <w:proofErr w:type="gramEnd"/>
            <w:r>
              <w:rPr>
                <w:rFonts w:ascii="Times New Roman" w:hAnsi="Times New Roman" w:cs="Times New Roman"/>
                <w:kern w:val="2"/>
                <w:lang w:eastAsia="ru-RU"/>
                <w14:ligatures w14:val="standardContextual"/>
              </w:rPr>
              <w:t xml:space="preserve">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2.4. Būves daļas. Veicot būves daļu apsekošanu, precizē to tehnisko stāvokli </w:t>
            </w:r>
            <w:proofErr w:type="gramStart"/>
            <w:r>
              <w:rPr>
                <w:rFonts w:ascii="Times New Roman" w:hAnsi="Times New Roman" w:cs="Times New Roman"/>
                <w:kern w:val="2"/>
                <w:lang w:eastAsia="ru-RU"/>
                <w14:ligatures w14:val="standardContextual"/>
              </w:rPr>
              <w:t>un</w:t>
            </w:r>
            <w:proofErr w:type="gramEnd"/>
            <w:r>
              <w:rPr>
                <w:rFonts w:ascii="Times New Roman" w:hAnsi="Times New Roman" w:cs="Times New Roman"/>
                <w:kern w:val="2"/>
                <w:lang w:eastAsia="ru-RU"/>
                <w14:ligatures w14:val="standardContextual"/>
              </w:rPr>
              <w:t xml:space="preserve">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w:t>
            </w:r>
            <w:proofErr w:type="gramStart"/>
            <w:r>
              <w:rPr>
                <w:rFonts w:ascii="Times New Roman" w:hAnsi="Times New Roman" w:cs="Times New Roman"/>
                <w:kern w:val="2"/>
                <w:lang w:eastAsia="ru-RU"/>
                <w14:ligatures w14:val="standardContextual"/>
              </w:rPr>
              <w:t>1.8. punktos prasītajam</w:t>
            </w:r>
            <w:proofErr w:type="gramEnd"/>
            <w:r>
              <w:rPr>
                <w:rFonts w:ascii="Times New Roman" w:hAnsi="Times New Roman" w:cs="Times New Roman"/>
                <w:kern w:val="2"/>
                <w:lang w:eastAsia="ru-RU"/>
                <w14:ligatures w14:val="standardContextual"/>
              </w:rPr>
              <w:t xml:space="preserve">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Veidot atsegumus, </w:t>
            </w:r>
            <w:proofErr w:type="spellStart"/>
            <w:r>
              <w:rPr>
                <w:rFonts w:ascii="Times New Roman" w:hAnsi="Times New Roman" w:cs="Times New Roman"/>
                <w:kern w:val="2"/>
                <w:lang w:eastAsia="ru-RU"/>
                <w14:ligatures w14:val="standardContextual"/>
              </w:rPr>
              <w:t>skatrakumus</w:t>
            </w:r>
            <w:proofErr w:type="spellEnd"/>
            <w:r>
              <w:rPr>
                <w:rFonts w:ascii="Times New Roman" w:hAnsi="Times New Roman" w:cs="Times New Roman"/>
                <w:kern w:val="2"/>
                <w:lang w:eastAsia="ru-RU"/>
                <w14:ligatures w14:val="standardContextual"/>
              </w:rPr>
              <w:t xml:space="preserve">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detalizētai izpētei apsekot segto konstrukciju defektus un bojājumus (ja tas </w:t>
            </w:r>
            <w:proofErr w:type="gramStart"/>
            <w:r>
              <w:rPr>
                <w:rFonts w:ascii="Times New Roman" w:hAnsi="Times New Roman" w:cs="Times New Roman"/>
                <w:kern w:val="2"/>
                <w:lang w:eastAsia="ru-RU"/>
                <w14:ligatures w14:val="standardContextual"/>
              </w:rPr>
              <w:t>konstatētas</w:t>
            </w:r>
            <w:proofErr w:type="gramEnd"/>
            <w:r>
              <w:rPr>
                <w:rFonts w:ascii="Times New Roman" w:hAnsi="Times New Roman" w:cs="Times New Roman"/>
                <w:kern w:val="2"/>
                <w:lang w:eastAsia="ru-RU"/>
                <w14:ligatures w14:val="standardContextual"/>
              </w:rPr>
              <w:t>);</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Atsevišķas pārseguma zonas vai elementus pārbaudīt ar </w:t>
            </w:r>
            <w:proofErr w:type="spellStart"/>
            <w:r>
              <w:rPr>
                <w:rFonts w:ascii="Times New Roman" w:hAnsi="Times New Roman" w:cs="Times New Roman"/>
                <w:kern w:val="2"/>
                <w:lang w:eastAsia="ru-RU"/>
                <w14:ligatures w14:val="standardContextual"/>
              </w:rPr>
              <w:t>kontrolslogošanu</w:t>
            </w:r>
            <w:proofErr w:type="spellEnd"/>
            <w:r>
              <w:rPr>
                <w:rFonts w:ascii="Times New Roman" w:hAnsi="Times New Roman" w:cs="Times New Roman"/>
                <w:kern w:val="2"/>
                <w:lang w:eastAsia="ru-RU"/>
                <w14:ligatures w14:val="standardContextual"/>
              </w:rPr>
              <w:t xml:space="preserve">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w:t>
            </w:r>
            <w:proofErr w:type="spellStart"/>
            <w:r>
              <w:rPr>
                <w:rFonts w:ascii="Times New Roman" w:hAnsi="Times New Roman" w:cs="Times New Roman"/>
                <w:kern w:val="2"/>
                <w:lang w:eastAsia="ru-RU"/>
                <w14:ligatures w14:val="standardContextual"/>
              </w:rPr>
              <w:t>Komunālserviss</w:t>
            </w:r>
            <w:proofErr w:type="spellEnd"/>
            <w:r>
              <w:rPr>
                <w:rFonts w:ascii="Times New Roman" w:hAnsi="Times New Roman" w:cs="Times New Roman"/>
                <w:kern w:val="2"/>
                <w:lang w:eastAsia="ru-RU"/>
                <w14:ligatures w14:val="standardContextual"/>
              </w:rPr>
              <w:t xml:space="preserve"> </w:t>
            </w:r>
            <w:proofErr w:type="spellStart"/>
            <w:r>
              <w:rPr>
                <w:rFonts w:ascii="Times New Roman" w:hAnsi="Times New Roman" w:cs="Times New Roman"/>
                <w:kern w:val="2"/>
                <w:lang w:eastAsia="ru-RU"/>
                <w14:ligatures w14:val="standardContextual"/>
              </w:rPr>
              <w:t>TILDe</w:t>
            </w:r>
            <w:proofErr w:type="spellEnd"/>
            <w:r>
              <w:rPr>
                <w:rFonts w:ascii="Times New Roman" w:hAnsi="Times New Roman" w:cs="Times New Roman"/>
                <w:kern w:val="2"/>
                <w:lang w:eastAsia="ru-RU"/>
                <w14:ligatures w14:val="standardContextual"/>
              </w:rPr>
              <w:t>”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 Piekļuvi objektā nodrošina Pasūtītais (dzīvokļos, nodrošina Pasūtītais,</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57055"/>
    <w:rsid w:val="001043C9"/>
    <w:rsid w:val="002B1D5C"/>
    <w:rsid w:val="0030766A"/>
    <w:rsid w:val="004C19DF"/>
    <w:rsid w:val="00836144"/>
    <w:rsid w:val="008C07EF"/>
    <w:rsid w:val="008D5225"/>
    <w:rsid w:val="00A37EA0"/>
    <w:rsid w:val="00A60624"/>
    <w:rsid w:val="00A94B73"/>
    <w:rsid w:val="00B94EF0"/>
    <w:rsid w:val="00BB6794"/>
    <w:rsid w:val="00DB6A6B"/>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5275</Words>
  <Characters>3008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cp:revision>
  <dcterms:created xsi:type="dcterms:W3CDTF">2025-03-19T06:31:00Z</dcterms:created>
  <dcterms:modified xsi:type="dcterms:W3CDTF">2025-03-19T06:31:00Z</dcterms:modified>
</cp:coreProperties>
</file>